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D407C9" w14:textId="77777777" w:rsidR="008C543B" w:rsidRDefault="008C543B" w:rsidP="0038174C">
      <w:pPr>
        <w:spacing w:line="276" w:lineRule="auto"/>
        <w:jc w:val="center"/>
        <w:rPr>
          <w:sz w:val="32"/>
          <w:szCs w:val="32"/>
        </w:rPr>
      </w:pPr>
    </w:p>
    <w:p w14:paraId="1763DFE5" w14:textId="07F8FB7A" w:rsidR="008C543B" w:rsidRDefault="008C543B" w:rsidP="0038174C">
      <w:pPr>
        <w:spacing w:line="276" w:lineRule="auto"/>
        <w:rPr>
          <w:color w:val="C45911" w:themeColor="accent2" w:themeShade="BF"/>
          <w:sz w:val="32"/>
          <w:szCs w:val="32"/>
        </w:rPr>
      </w:pPr>
      <w:r w:rsidRPr="008C543B">
        <w:rPr>
          <w:b/>
          <w:color w:val="C45911" w:themeColor="accent2" w:themeShade="BF"/>
          <w:sz w:val="40"/>
          <w:szCs w:val="40"/>
        </w:rPr>
        <w:t xml:space="preserve">Analýza prioritnej súčasnej turistickej ponuky v NP Slovenský </w:t>
      </w:r>
      <w:r w:rsidR="00585BA8">
        <w:rPr>
          <w:b/>
          <w:color w:val="C45911" w:themeColor="accent2" w:themeShade="BF"/>
          <w:sz w:val="40"/>
          <w:szCs w:val="40"/>
        </w:rPr>
        <w:t>r</w:t>
      </w:r>
      <w:r w:rsidRPr="008C543B">
        <w:rPr>
          <w:b/>
          <w:color w:val="C45911" w:themeColor="accent2" w:themeShade="BF"/>
          <w:sz w:val="40"/>
          <w:szCs w:val="40"/>
        </w:rPr>
        <w:t>aj</w:t>
      </w:r>
      <w:r w:rsidRPr="008C543B">
        <w:rPr>
          <w:color w:val="C45911" w:themeColor="accent2" w:themeShade="BF"/>
          <w:sz w:val="32"/>
          <w:szCs w:val="32"/>
        </w:rPr>
        <w:t xml:space="preserve"> </w:t>
      </w:r>
    </w:p>
    <w:p w14:paraId="0A6CAA61" w14:textId="7B0DA5AC" w:rsidR="00546DB2" w:rsidRDefault="008C543B" w:rsidP="0038174C">
      <w:pPr>
        <w:spacing w:line="276" w:lineRule="auto"/>
        <w:rPr>
          <w:sz w:val="32"/>
          <w:szCs w:val="32"/>
        </w:rPr>
      </w:pPr>
      <w:r w:rsidRPr="008C543B">
        <w:rPr>
          <w:sz w:val="32"/>
          <w:szCs w:val="32"/>
        </w:rPr>
        <w:t xml:space="preserve">z pohľadu dopadov </w:t>
      </w:r>
      <w:r w:rsidR="003642B0">
        <w:rPr>
          <w:sz w:val="32"/>
          <w:szCs w:val="32"/>
        </w:rPr>
        <w:t xml:space="preserve">zmeny klímy </w:t>
      </w:r>
      <w:r w:rsidRPr="008C543B">
        <w:rPr>
          <w:sz w:val="32"/>
          <w:szCs w:val="32"/>
        </w:rPr>
        <w:t>na zamestnanosť</w:t>
      </w:r>
      <w:r w:rsidR="004E1C35">
        <w:rPr>
          <w:sz w:val="32"/>
          <w:szCs w:val="32"/>
        </w:rPr>
        <w:t xml:space="preserve"> v cestovnom ruchu</w:t>
      </w:r>
    </w:p>
    <w:p w14:paraId="3E527DF2" w14:textId="77777777" w:rsidR="00546DB2" w:rsidRDefault="00546DB2" w:rsidP="0038174C">
      <w:pPr>
        <w:spacing w:line="276" w:lineRule="auto"/>
        <w:rPr>
          <w:sz w:val="32"/>
          <w:szCs w:val="32"/>
        </w:rPr>
      </w:pPr>
    </w:p>
    <w:p w14:paraId="241929F5" w14:textId="0EF844D1" w:rsidR="008F5D43" w:rsidRDefault="00546DB2" w:rsidP="0038174C">
      <w:pPr>
        <w:spacing w:line="276" w:lineRule="auto"/>
        <w:rPr>
          <w:sz w:val="32"/>
          <w:szCs w:val="32"/>
        </w:rPr>
      </w:pPr>
      <w:r>
        <w:rPr>
          <w:noProof/>
          <w:sz w:val="32"/>
          <w:szCs w:val="32"/>
          <w:lang w:val="en-GB" w:eastAsia="en-GB"/>
        </w:rPr>
        <w:drawing>
          <wp:inline distT="0" distB="0" distL="0" distR="0" wp14:anchorId="5ABBE2EF" wp14:editId="28217FB2">
            <wp:extent cx="5760720" cy="3933825"/>
            <wp:effectExtent l="0" t="0" r="0" b="952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tMagazin.sk.jpg"/>
                    <pic:cNvPicPr/>
                  </pic:nvPicPr>
                  <pic:blipFill>
                    <a:blip r:embed="rId8">
                      <a:extLst>
                        <a:ext uri="{28A0092B-C50C-407E-A947-70E740481C1C}">
                          <a14:useLocalDpi xmlns:a14="http://schemas.microsoft.com/office/drawing/2010/main" val="0"/>
                        </a:ext>
                      </a:extLst>
                    </a:blip>
                    <a:stretch>
                      <a:fillRect/>
                    </a:stretch>
                  </pic:blipFill>
                  <pic:spPr>
                    <a:xfrm>
                      <a:off x="0" y="0"/>
                      <a:ext cx="5760720" cy="3933825"/>
                    </a:xfrm>
                    <a:prstGeom prst="rect">
                      <a:avLst/>
                    </a:prstGeom>
                  </pic:spPr>
                </pic:pic>
              </a:graphicData>
            </a:graphic>
          </wp:inline>
        </w:drawing>
      </w:r>
    </w:p>
    <w:p w14:paraId="715B6BB8" w14:textId="5B406ADA" w:rsidR="008C543B" w:rsidRDefault="008C543B" w:rsidP="0038174C">
      <w:pPr>
        <w:spacing w:line="276" w:lineRule="auto"/>
        <w:rPr>
          <w:sz w:val="32"/>
          <w:szCs w:val="32"/>
        </w:rPr>
      </w:pPr>
    </w:p>
    <w:p w14:paraId="51501485" w14:textId="49279F88" w:rsidR="008C543B" w:rsidRDefault="008C543B" w:rsidP="0038174C">
      <w:pPr>
        <w:spacing w:line="276" w:lineRule="auto"/>
        <w:rPr>
          <w:sz w:val="32"/>
          <w:szCs w:val="32"/>
        </w:rPr>
      </w:pPr>
    </w:p>
    <w:p w14:paraId="38750808" w14:textId="40E58D49" w:rsidR="00546DB2" w:rsidRDefault="00546DB2" w:rsidP="0038174C">
      <w:pPr>
        <w:spacing w:line="276" w:lineRule="auto"/>
        <w:rPr>
          <w:sz w:val="32"/>
          <w:szCs w:val="32"/>
        </w:rPr>
      </w:pPr>
    </w:p>
    <w:p w14:paraId="416A0335" w14:textId="77777777" w:rsidR="00953A25" w:rsidRDefault="00953A25" w:rsidP="0038174C">
      <w:pPr>
        <w:spacing w:line="276" w:lineRule="auto"/>
        <w:rPr>
          <w:sz w:val="32"/>
          <w:szCs w:val="32"/>
        </w:rPr>
      </w:pPr>
    </w:p>
    <w:p w14:paraId="3433BEF6" w14:textId="4031B56A" w:rsidR="00546DB2" w:rsidRDefault="00546DB2" w:rsidP="0038174C">
      <w:pPr>
        <w:spacing w:line="276" w:lineRule="auto"/>
        <w:rPr>
          <w:sz w:val="32"/>
          <w:szCs w:val="32"/>
        </w:rPr>
      </w:pPr>
    </w:p>
    <w:p w14:paraId="4E097960" w14:textId="789C50F8" w:rsidR="00546DB2" w:rsidRDefault="00546DB2" w:rsidP="0038174C">
      <w:pPr>
        <w:spacing w:line="276" w:lineRule="auto"/>
        <w:rPr>
          <w:sz w:val="32"/>
          <w:szCs w:val="32"/>
        </w:rPr>
      </w:pPr>
    </w:p>
    <w:p w14:paraId="11F3CC67" w14:textId="7AE5F9C7" w:rsidR="00453519" w:rsidRPr="009C564B" w:rsidRDefault="00546DB2" w:rsidP="0038174C">
      <w:pPr>
        <w:spacing w:line="276" w:lineRule="auto"/>
        <w:rPr>
          <w:sz w:val="32"/>
          <w:szCs w:val="32"/>
        </w:rPr>
      </w:pPr>
      <w:r>
        <w:rPr>
          <w:sz w:val="32"/>
          <w:szCs w:val="32"/>
        </w:rPr>
        <w:t xml:space="preserve">Karpatský rozvojový inštitút </w:t>
      </w:r>
      <w:r>
        <w:rPr>
          <w:rFonts w:cstheme="minorHAnsi"/>
          <w:sz w:val="32"/>
          <w:szCs w:val="32"/>
        </w:rPr>
        <w:t>•</w:t>
      </w:r>
      <w:r>
        <w:rPr>
          <w:sz w:val="32"/>
          <w:szCs w:val="32"/>
        </w:rPr>
        <w:t xml:space="preserve"> 201</w:t>
      </w:r>
      <w:r w:rsidR="005B3701">
        <w:rPr>
          <w:sz w:val="32"/>
          <w:szCs w:val="32"/>
        </w:rPr>
        <w:t>8</w:t>
      </w:r>
    </w:p>
    <w:p w14:paraId="5C8C2A28" w14:textId="083A2FF4" w:rsidR="00453519" w:rsidRDefault="00453519" w:rsidP="0038174C">
      <w:pPr>
        <w:spacing w:line="276" w:lineRule="auto"/>
        <w:rPr>
          <w:sz w:val="32"/>
          <w:szCs w:val="32"/>
        </w:rPr>
      </w:pPr>
    </w:p>
    <w:sdt>
      <w:sdtPr>
        <w:rPr>
          <w:rFonts w:asciiTheme="minorHAnsi" w:eastAsiaTheme="minorHAnsi" w:hAnsiTheme="minorHAnsi" w:cstheme="minorBidi"/>
          <w:color w:val="auto"/>
          <w:sz w:val="22"/>
          <w:szCs w:val="22"/>
          <w:lang w:eastAsia="en-US"/>
        </w:rPr>
        <w:id w:val="1509016194"/>
        <w:docPartObj>
          <w:docPartGallery w:val="Table of Contents"/>
          <w:docPartUnique/>
        </w:docPartObj>
      </w:sdtPr>
      <w:sdtEndPr>
        <w:rPr>
          <w:b/>
          <w:bCs/>
        </w:rPr>
      </w:sdtEndPr>
      <w:sdtContent>
        <w:p w14:paraId="3F63BC91" w14:textId="31E3B688" w:rsidR="009C564B" w:rsidRDefault="009C564B" w:rsidP="0038174C">
          <w:pPr>
            <w:pStyle w:val="Hlavikaobsahu"/>
            <w:spacing w:line="276" w:lineRule="auto"/>
          </w:pPr>
          <w:r>
            <w:t>Obsah</w:t>
          </w:r>
        </w:p>
        <w:p w14:paraId="73C2DA7D" w14:textId="4575652D" w:rsidR="00A626A8" w:rsidRDefault="009C564B">
          <w:pPr>
            <w:pStyle w:val="Obsah1"/>
            <w:tabs>
              <w:tab w:val="left" w:pos="440"/>
              <w:tab w:val="right" w:leader="dot" w:pos="9062"/>
            </w:tabs>
            <w:rPr>
              <w:rFonts w:eastAsiaTheme="minorEastAsia"/>
              <w:noProof/>
              <w:lang w:eastAsia="sk-SK"/>
            </w:rPr>
          </w:pPr>
          <w:r>
            <w:fldChar w:fldCharType="begin"/>
          </w:r>
          <w:r>
            <w:instrText xml:space="preserve"> TOC \o "1-3" \h \z \u </w:instrText>
          </w:r>
          <w:r>
            <w:fldChar w:fldCharType="separate"/>
          </w:r>
          <w:hyperlink w:anchor="_Toc509383568" w:history="1">
            <w:r w:rsidR="00A626A8" w:rsidRPr="00424637">
              <w:rPr>
                <w:rStyle w:val="Hypertextovprepojenie"/>
                <w:noProof/>
              </w:rPr>
              <w:t>1.</w:t>
            </w:r>
            <w:r w:rsidR="00A626A8">
              <w:rPr>
                <w:rFonts w:eastAsiaTheme="minorEastAsia"/>
                <w:noProof/>
                <w:lang w:eastAsia="sk-SK"/>
              </w:rPr>
              <w:tab/>
            </w:r>
            <w:r w:rsidR="00A626A8" w:rsidRPr="00424637">
              <w:rPr>
                <w:rStyle w:val="Hypertextovprepojenie"/>
                <w:noProof/>
              </w:rPr>
              <w:t>Úvod</w:t>
            </w:r>
            <w:r w:rsidR="00A626A8">
              <w:rPr>
                <w:noProof/>
                <w:webHidden/>
              </w:rPr>
              <w:tab/>
            </w:r>
            <w:r w:rsidR="00A626A8">
              <w:rPr>
                <w:noProof/>
                <w:webHidden/>
              </w:rPr>
              <w:fldChar w:fldCharType="begin"/>
            </w:r>
            <w:r w:rsidR="00A626A8">
              <w:rPr>
                <w:noProof/>
                <w:webHidden/>
              </w:rPr>
              <w:instrText xml:space="preserve"> PAGEREF _Toc509383568 \h </w:instrText>
            </w:r>
            <w:r w:rsidR="00A626A8">
              <w:rPr>
                <w:noProof/>
                <w:webHidden/>
              </w:rPr>
            </w:r>
            <w:r w:rsidR="00A626A8">
              <w:rPr>
                <w:noProof/>
                <w:webHidden/>
              </w:rPr>
              <w:fldChar w:fldCharType="separate"/>
            </w:r>
            <w:r w:rsidR="00A626A8">
              <w:rPr>
                <w:noProof/>
                <w:webHidden/>
              </w:rPr>
              <w:t>3</w:t>
            </w:r>
            <w:r w:rsidR="00A626A8">
              <w:rPr>
                <w:noProof/>
                <w:webHidden/>
              </w:rPr>
              <w:fldChar w:fldCharType="end"/>
            </w:r>
          </w:hyperlink>
        </w:p>
        <w:p w14:paraId="1544F003" w14:textId="3E151E13" w:rsidR="00A626A8" w:rsidRDefault="00771BF9">
          <w:pPr>
            <w:pStyle w:val="Obsah1"/>
            <w:tabs>
              <w:tab w:val="left" w:pos="440"/>
              <w:tab w:val="right" w:leader="dot" w:pos="9062"/>
            </w:tabs>
            <w:rPr>
              <w:rFonts w:eastAsiaTheme="minorEastAsia"/>
              <w:noProof/>
              <w:lang w:eastAsia="sk-SK"/>
            </w:rPr>
          </w:pPr>
          <w:hyperlink w:anchor="_Toc509383569" w:history="1">
            <w:r w:rsidR="00A626A8" w:rsidRPr="00424637">
              <w:rPr>
                <w:rStyle w:val="Hypertextovprepojenie"/>
                <w:noProof/>
              </w:rPr>
              <w:t>2.</w:t>
            </w:r>
            <w:r w:rsidR="00A626A8">
              <w:rPr>
                <w:rFonts w:eastAsiaTheme="minorEastAsia"/>
                <w:noProof/>
                <w:lang w:eastAsia="sk-SK"/>
              </w:rPr>
              <w:tab/>
            </w:r>
            <w:r w:rsidR="00A626A8" w:rsidRPr="00424637">
              <w:rPr>
                <w:rStyle w:val="Hypertextovprepojenie"/>
                <w:noProof/>
              </w:rPr>
              <w:t>Prečo riešiť zmenu klímy v cestovnom ruchu?</w:t>
            </w:r>
            <w:r w:rsidR="00A626A8">
              <w:rPr>
                <w:noProof/>
                <w:webHidden/>
              </w:rPr>
              <w:tab/>
            </w:r>
            <w:r w:rsidR="00A626A8">
              <w:rPr>
                <w:noProof/>
                <w:webHidden/>
              </w:rPr>
              <w:fldChar w:fldCharType="begin"/>
            </w:r>
            <w:r w:rsidR="00A626A8">
              <w:rPr>
                <w:noProof/>
                <w:webHidden/>
              </w:rPr>
              <w:instrText xml:space="preserve"> PAGEREF _Toc509383569 \h </w:instrText>
            </w:r>
            <w:r w:rsidR="00A626A8">
              <w:rPr>
                <w:noProof/>
                <w:webHidden/>
              </w:rPr>
            </w:r>
            <w:r w:rsidR="00A626A8">
              <w:rPr>
                <w:noProof/>
                <w:webHidden/>
              </w:rPr>
              <w:fldChar w:fldCharType="separate"/>
            </w:r>
            <w:r w:rsidR="00A626A8">
              <w:rPr>
                <w:noProof/>
                <w:webHidden/>
              </w:rPr>
              <w:t>3</w:t>
            </w:r>
            <w:r w:rsidR="00A626A8">
              <w:rPr>
                <w:noProof/>
                <w:webHidden/>
              </w:rPr>
              <w:fldChar w:fldCharType="end"/>
            </w:r>
          </w:hyperlink>
        </w:p>
        <w:p w14:paraId="10B86DA6" w14:textId="13C719EA" w:rsidR="00A626A8" w:rsidRDefault="00771BF9">
          <w:pPr>
            <w:pStyle w:val="Obsah1"/>
            <w:tabs>
              <w:tab w:val="left" w:pos="440"/>
              <w:tab w:val="right" w:leader="dot" w:pos="9062"/>
            </w:tabs>
            <w:rPr>
              <w:rFonts w:eastAsiaTheme="minorEastAsia"/>
              <w:noProof/>
              <w:lang w:eastAsia="sk-SK"/>
            </w:rPr>
          </w:pPr>
          <w:hyperlink w:anchor="_Toc509383570" w:history="1">
            <w:r w:rsidR="00A626A8" w:rsidRPr="00424637">
              <w:rPr>
                <w:rStyle w:val="Hypertextovprepojenie"/>
                <w:noProof/>
              </w:rPr>
              <w:t>3.</w:t>
            </w:r>
            <w:r w:rsidR="00A626A8">
              <w:rPr>
                <w:rFonts w:eastAsiaTheme="minorEastAsia"/>
                <w:noProof/>
                <w:lang w:eastAsia="sk-SK"/>
              </w:rPr>
              <w:tab/>
            </w:r>
            <w:r w:rsidR="00A626A8" w:rsidRPr="00424637">
              <w:rPr>
                <w:rStyle w:val="Hypertextovprepojenie"/>
                <w:noProof/>
              </w:rPr>
              <w:t>Aplikovaná metodika</w:t>
            </w:r>
            <w:r w:rsidR="00A626A8">
              <w:rPr>
                <w:noProof/>
                <w:webHidden/>
              </w:rPr>
              <w:tab/>
            </w:r>
            <w:r w:rsidR="00A626A8">
              <w:rPr>
                <w:noProof/>
                <w:webHidden/>
              </w:rPr>
              <w:fldChar w:fldCharType="begin"/>
            </w:r>
            <w:r w:rsidR="00A626A8">
              <w:rPr>
                <w:noProof/>
                <w:webHidden/>
              </w:rPr>
              <w:instrText xml:space="preserve"> PAGEREF _Toc509383570 \h </w:instrText>
            </w:r>
            <w:r w:rsidR="00A626A8">
              <w:rPr>
                <w:noProof/>
                <w:webHidden/>
              </w:rPr>
            </w:r>
            <w:r w:rsidR="00A626A8">
              <w:rPr>
                <w:noProof/>
                <w:webHidden/>
              </w:rPr>
              <w:fldChar w:fldCharType="separate"/>
            </w:r>
            <w:r w:rsidR="00A626A8">
              <w:rPr>
                <w:noProof/>
                <w:webHidden/>
              </w:rPr>
              <w:t>5</w:t>
            </w:r>
            <w:r w:rsidR="00A626A8">
              <w:rPr>
                <w:noProof/>
                <w:webHidden/>
              </w:rPr>
              <w:fldChar w:fldCharType="end"/>
            </w:r>
          </w:hyperlink>
        </w:p>
        <w:p w14:paraId="0E532285" w14:textId="7D2EF984" w:rsidR="00A626A8" w:rsidRDefault="00771BF9">
          <w:pPr>
            <w:pStyle w:val="Obsah1"/>
            <w:tabs>
              <w:tab w:val="left" w:pos="440"/>
              <w:tab w:val="right" w:leader="dot" w:pos="9062"/>
            </w:tabs>
            <w:rPr>
              <w:rFonts w:eastAsiaTheme="minorEastAsia"/>
              <w:noProof/>
              <w:lang w:eastAsia="sk-SK"/>
            </w:rPr>
          </w:pPr>
          <w:hyperlink w:anchor="_Toc509383571" w:history="1">
            <w:r w:rsidR="00A626A8" w:rsidRPr="00424637">
              <w:rPr>
                <w:rStyle w:val="Hypertextovprepojenie"/>
                <w:noProof/>
              </w:rPr>
              <w:t>4.</w:t>
            </w:r>
            <w:r w:rsidR="00A626A8">
              <w:rPr>
                <w:rFonts w:eastAsiaTheme="minorEastAsia"/>
                <w:noProof/>
                <w:lang w:eastAsia="sk-SK"/>
              </w:rPr>
              <w:tab/>
            </w:r>
            <w:r w:rsidR="00A626A8" w:rsidRPr="00424637">
              <w:rPr>
                <w:rStyle w:val="Hypertextovprepojenie"/>
                <w:noProof/>
              </w:rPr>
              <w:t>Vymedzenie cieľového územia NP Slovenský raj a priľahlého územia</w:t>
            </w:r>
            <w:r w:rsidR="00A626A8">
              <w:rPr>
                <w:noProof/>
                <w:webHidden/>
              </w:rPr>
              <w:tab/>
            </w:r>
            <w:r w:rsidR="00A626A8">
              <w:rPr>
                <w:noProof/>
                <w:webHidden/>
              </w:rPr>
              <w:fldChar w:fldCharType="begin"/>
            </w:r>
            <w:r w:rsidR="00A626A8">
              <w:rPr>
                <w:noProof/>
                <w:webHidden/>
              </w:rPr>
              <w:instrText xml:space="preserve"> PAGEREF _Toc509383571 \h </w:instrText>
            </w:r>
            <w:r w:rsidR="00A626A8">
              <w:rPr>
                <w:noProof/>
                <w:webHidden/>
              </w:rPr>
            </w:r>
            <w:r w:rsidR="00A626A8">
              <w:rPr>
                <w:noProof/>
                <w:webHidden/>
              </w:rPr>
              <w:fldChar w:fldCharType="separate"/>
            </w:r>
            <w:r w:rsidR="00A626A8">
              <w:rPr>
                <w:noProof/>
                <w:webHidden/>
              </w:rPr>
              <w:t>5</w:t>
            </w:r>
            <w:r w:rsidR="00A626A8">
              <w:rPr>
                <w:noProof/>
                <w:webHidden/>
              </w:rPr>
              <w:fldChar w:fldCharType="end"/>
            </w:r>
          </w:hyperlink>
        </w:p>
        <w:p w14:paraId="265FF80C" w14:textId="6702F5E4" w:rsidR="00A626A8" w:rsidRDefault="00771BF9">
          <w:pPr>
            <w:pStyle w:val="Obsah1"/>
            <w:tabs>
              <w:tab w:val="left" w:pos="440"/>
              <w:tab w:val="right" w:leader="dot" w:pos="9062"/>
            </w:tabs>
            <w:rPr>
              <w:rFonts w:eastAsiaTheme="minorEastAsia"/>
              <w:noProof/>
              <w:lang w:eastAsia="sk-SK"/>
            </w:rPr>
          </w:pPr>
          <w:hyperlink w:anchor="_Toc509383572" w:history="1">
            <w:r w:rsidR="00A626A8" w:rsidRPr="00424637">
              <w:rPr>
                <w:rStyle w:val="Hypertextovprepojenie"/>
                <w:noProof/>
              </w:rPr>
              <w:t>5.</w:t>
            </w:r>
            <w:r w:rsidR="00A626A8">
              <w:rPr>
                <w:rFonts w:eastAsiaTheme="minorEastAsia"/>
                <w:noProof/>
                <w:lang w:eastAsia="sk-SK"/>
              </w:rPr>
              <w:tab/>
            </w:r>
            <w:r w:rsidR="00A626A8" w:rsidRPr="00424637">
              <w:rPr>
                <w:rStyle w:val="Hypertextovprepojenie"/>
                <w:noProof/>
              </w:rPr>
              <w:t>Cestovný ruch v NP Slovenský raj</w:t>
            </w:r>
            <w:r w:rsidR="00A626A8">
              <w:rPr>
                <w:noProof/>
                <w:webHidden/>
              </w:rPr>
              <w:tab/>
            </w:r>
            <w:r w:rsidR="00A626A8">
              <w:rPr>
                <w:noProof/>
                <w:webHidden/>
              </w:rPr>
              <w:fldChar w:fldCharType="begin"/>
            </w:r>
            <w:r w:rsidR="00A626A8">
              <w:rPr>
                <w:noProof/>
                <w:webHidden/>
              </w:rPr>
              <w:instrText xml:space="preserve"> PAGEREF _Toc509383572 \h </w:instrText>
            </w:r>
            <w:r w:rsidR="00A626A8">
              <w:rPr>
                <w:noProof/>
                <w:webHidden/>
              </w:rPr>
            </w:r>
            <w:r w:rsidR="00A626A8">
              <w:rPr>
                <w:noProof/>
                <w:webHidden/>
              </w:rPr>
              <w:fldChar w:fldCharType="separate"/>
            </w:r>
            <w:r w:rsidR="00A626A8">
              <w:rPr>
                <w:noProof/>
                <w:webHidden/>
              </w:rPr>
              <w:t>8</w:t>
            </w:r>
            <w:r w:rsidR="00A626A8">
              <w:rPr>
                <w:noProof/>
                <w:webHidden/>
              </w:rPr>
              <w:fldChar w:fldCharType="end"/>
            </w:r>
          </w:hyperlink>
        </w:p>
        <w:p w14:paraId="4ABBB2E2" w14:textId="46882C43" w:rsidR="00A626A8" w:rsidRDefault="00771BF9">
          <w:pPr>
            <w:pStyle w:val="Obsah2"/>
            <w:tabs>
              <w:tab w:val="left" w:pos="880"/>
              <w:tab w:val="right" w:leader="dot" w:pos="9062"/>
            </w:tabs>
            <w:rPr>
              <w:rFonts w:eastAsiaTheme="minorEastAsia"/>
              <w:noProof/>
              <w:lang w:eastAsia="sk-SK"/>
            </w:rPr>
          </w:pPr>
          <w:hyperlink w:anchor="_Toc509383573" w:history="1">
            <w:r w:rsidR="00A626A8" w:rsidRPr="00424637">
              <w:rPr>
                <w:rStyle w:val="Hypertextovprepojenie"/>
                <w:noProof/>
              </w:rPr>
              <w:t>5.1</w:t>
            </w:r>
            <w:r w:rsidR="00A626A8">
              <w:rPr>
                <w:rFonts w:eastAsiaTheme="minorEastAsia"/>
                <w:noProof/>
                <w:lang w:eastAsia="sk-SK"/>
              </w:rPr>
              <w:tab/>
            </w:r>
            <w:r w:rsidR="00A626A8" w:rsidRPr="00424637">
              <w:rPr>
                <w:rStyle w:val="Hypertextovprepojenie"/>
                <w:noProof/>
              </w:rPr>
              <w:t>Ponuka v cestovnom ruchu v NP Slovenský raj</w:t>
            </w:r>
            <w:r w:rsidR="00A626A8">
              <w:rPr>
                <w:noProof/>
                <w:webHidden/>
              </w:rPr>
              <w:tab/>
            </w:r>
            <w:r w:rsidR="00A626A8">
              <w:rPr>
                <w:noProof/>
                <w:webHidden/>
              </w:rPr>
              <w:fldChar w:fldCharType="begin"/>
            </w:r>
            <w:r w:rsidR="00A626A8">
              <w:rPr>
                <w:noProof/>
                <w:webHidden/>
              </w:rPr>
              <w:instrText xml:space="preserve"> PAGEREF _Toc509383573 \h </w:instrText>
            </w:r>
            <w:r w:rsidR="00A626A8">
              <w:rPr>
                <w:noProof/>
                <w:webHidden/>
              </w:rPr>
            </w:r>
            <w:r w:rsidR="00A626A8">
              <w:rPr>
                <w:noProof/>
                <w:webHidden/>
              </w:rPr>
              <w:fldChar w:fldCharType="separate"/>
            </w:r>
            <w:r w:rsidR="00A626A8">
              <w:rPr>
                <w:noProof/>
                <w:webHidden/>
              </w:rPr>
              <w:t>9</w:t>
            </w:r>
            <w:r w:rsidR="00A626A8">
              <w:rPr>
                <w:noProof/>
                <w:webHidden/>
              </w:rPr>
              <w:fldChar w:fldCharType="end"/>
            </w:r>
          </w:hyperlink>
        </w:p>
        <w:p w14:paraId="1DCA6FBB" w14:textId="7726FE96" w:rsidR="00A626A8" w:rsidRDefault="00771BF9">
          <w:pPr>
            <w:pStyle w:val="Obsah3"/>
            <w:tabs>
              <w:tab w:val="left" w:pos="1320"/>
              <w:tab w:val="right" w:leader="dot" w:pos="9062"/>
            </w:tabs>
            <w:rPr>
              <w:rFonts w:eastAsiaTheme="minorEastAsia"/>
              <w:noProof/>
              <w:lang w:eastAsia="sk-SK"/>
            </w:rPr>
          </w:pPr>
          <w:hyperlink w:anchor="_Toc509383574" w:history="1">
            <w:r w:rsidR="00A626A8" w:rsidRPr="00424637">
              <w:rPr>
                <w:rStyle w:val="Hypertextovprepojenie"/>
                <w:noProof/>
              </w:rPr>
              <w:t>5.1.1</w:t>
            </w:r>
            <w:r w:rsidR="00A626A8">
              <w:rPr>
                <w:rFonts w:eastAsiaTheme="minorEastAsia"/>
                <w:noProof/>
                <w:lang w:eastAsia="sk-SK"/>
              </w:rPr>
              <w:tab/>
            </w:r>
            <w:r w:rsidR="00A626A8" w:rsidRPr="00424637">
              <w:rPr>
                <w:rStyle w:val="Hypertextovprepojenie"/>
                <w:noProof/>
              </w:rPr>
              <w:t>Primárna ponuka v cestovnom ruchu v NP Slovenský raj</w:t>
            </w:r>
            <w:r w:rsidR="00A626A8">
              <w:rPr>
                <w:noProof/>
                <w:webHidden/>
              </w:rPr>
              <w:tab/>
            </w:r>
            <w:r w:rsidR="00A626A8">
              <w:rPr>
                <w:noProof/>
                <w:webHidden/>
              </w:rPr>
              <w:fldChar w:fldCharType="begin"/>
            </w:r>
            <w:r w:rsidR="00A626A8">
              <w:rPr>
                <w:noProof/>
                <w:webHidden/>
              </w:rPr>
              <w:instrText xml:space="preserve"> PAGEREF _Toc509383574 \h </w:instrText>
            </w:r>
            <w:r w:rsidR="00A626A8">
              <w:rPr>
                <w:noProof/>
                <w:webHidden/>
              </w:rPr>
            </w:r>
            <w:r w:rsidR="00A626A8">
              <w:rPr>
                <w:noProof/>
                <w:webHidden/>
              </w:rPr>
              <w:fldChar w:fldCharType="separate"/>
            </w:r>
            <w:r w:rsidR="00A626A8">
              <w:rPr>
                <w:noProof/>
                <w:webHidden/>
              </w:rPr>
              <w:t>9</w:t>
            </w:r>
            <w:r w:rsidR="00A626A8">
              <w:rPr>
                <w:noProof/>
                <w:webHidden/>
              </w:rPr>
              <w:fldChar w:fldCharType="end"/>
            </w:r>
          </w:hyperlink>
        </w:p>
        <w:p w14:paraId="7A2D146C" w14:textId="1EE6FB56" w:rsidR="00A626A8" w:rsidRDefault="00771BF9">
          <w:pPr>
            <w:pStyle w:val="Obsah3"/>
            <w:tabs>
              <w:tab w:val="left" w:pos="1320"/>
              <w:tab w:val="right" w:leader="dot" w:pos="9062"/>
            </w:tabs>
            <w:rPr>
              <w:rFonts w:eastAsiaTheme="minorEastAsia"/>
              <w:noProof/>
              <w:lang w:eastAsia="sk-SK"/>
            </w:rPr>
          </w:pPr>
          <w:hyperlink w:anchor="_Toc509383575" w:history="1">
            <w:r w:rsidR="00A626A8" w:rsidRPr="00424637">
              <w:rPr>
                <w:rStyle w:val="Hypertextovprepojenie"/>
                <w:noProof/>
              </w:rPr>
              <w:t>5.1.2</w:t>
            </w:r>
            <w:r w:rsidR="00A626A8">
              <w:rPr>
                <w:rFonts w:eastAsiaTheme="minorEastAsia"/>
                <w:noProof/>
                <w:lang w:eastAsia="sk-SK"/>
              </w:rPr>
              <w:tab/>
            </w:r>
            <w:r w:rsidR="00A626A8" w:rsidRPr="00424637">
              <w:rPr>
                <w:rStyle w:val="Hypertextovprepojenie"/>
                <w:noProof/>
              </w:rPr>
              <w:t>Sekundárna ponuka v cestovnom ruchu v NP Slovenský raj</w:t>
            </w:r>
            <w:r w:rsidR="00A626A8">
              <w:rPr>
                <w:noProof/>
                <w:webHidden/>
              </w:rPr>
              <w:tab/>
            </w:r>
            <w:r w:rsidR="00A626A8">
              <w:rPr>
                <w:noProof/>
                <w:webHidden/>
              </w:rPr>
              <w:fldChar w:fldCharType="begin"/>
            </w:r>
            <w:r w:rsidR="00A626A8">
              <w:rPr>
                <w:noProof/>
                <w:webHidden/>
              </w:rPr>
              <w:instrText xml:space="preserve"> PAGEREF _Toc509383575 \h </w:instrText>
            </w:r>
            <w:r w:rsidR="00A626A8">
              <w:rPr>
                <w:noProof/>
                <w:webHidden/>
              </w:rPr>
            </w:r>
            <w:r w:rsidR="00A626A8">
              <w:rPr>
                <w:noProof/>
                <w:webHidden/>
              </w:rPr>
              <w:fldChar w:fldCharType="separate"/>
            </w:r>
            <w:r w:rsidR="00A626A8">
              <w:rPr>
                <w:noProof/>
                <w:webHidden/>
              </w:rPr>
              <w:t>12</w:t>
            </w:r>
            <w:r w:rsidR="00A626A8">
              <w:rPr>
                <w:noProof/>
                <w:webHidden/>
              </w:rPr>
              <w:fldChar w:fldCharType="end"/>
            </w:r>
          </w:hyperlink>
        </w:p>
        <w:p w14:paraId="2E757BFB" w14:textId="7A6EF3C2" w:rsidR="00A626A8" w:rsidRDefault="00771BF9">
          <w:pPr>
            <w:pStyle w:val="Obsah2"/>
            <w:tabs>
              <w:tab w:val="left" w:pos="880"/>
              <w:tab w:val="right" w:leader="dot" w:pos="9062"/>
            </w:tabs>
            <w:rPr>
              <w:rFonts w:eastAsiaTheme="minorEastAsia"/>
              <w:noProof/>
              <w:lang w:eastAsia="sk-SK"/>
            </w:rPr>
          </w:pPr>
          <w:hyperlink w:anchor="_Toc509383576" w:history="1">
            <w:r w:rsidR="00A626A8" w:rsidRPr="00424637">
              <w:rPr>
                <w:rStyle w:val="Hypertextovprepojenie"/>
                <w:noProof/>
              </w:rPr>
              <w:t>5.2</w:t>
            </w:r>
            <w:r w:rsidR="00A626A8">
              <w:rPr>
                <w:rFonts w:eastAsiaTheme="minorEastAsia"/>
                <w:noProof/>
                <w:lang w:eastAsia="sk-SK"/>
              </w:rPr>
              <w:tab/>
            </w:r>
            <w:r w:rsidR="00A626A8" w:rsidRPr="00424637">
              <w:rPr>
                <w:rStyle w:val="Hypertextovprepojenie"/>
                <w:noProof/>
              </w:rPr>
              <w:t>Identifikované produkty cestovného ruchu v NP Slovenský raj</w:t>
            </w:r>
            <w:r w:rsidR="00A626A8">
              <w:rPr>
                <w:noProof/>
                <w:webHidden/>
              </w:rPr>
              <w:tab/>
            </w:r>
            <w:r w:rsidR="00A626A8">
              <w:rPr>
                <w:noProof/>
                <w:webHidden/>
              </w:rPr>
              <w:fldChar w:fldCharType="begin"/>
            </w:r>
            <w:r w:rsidR="00A626A8">
              <w:rPr>
                <w:noProof/>
                <w:webHidden/>
              </w:rPr>
              <w:instrText xml:space="preserve"> PAGEREF _Toc509383576 \h </w:instrText>
            </w:r>
            <w:r w:rsidR="00A626A8">
              <w:rPr>
                <w:noProof/>
                <w:webHidden/>
              </w:rPr>
            </w:r>
            <w:r w:rsidR="00A626A8">
              <w:rPr>
                <w:noProof/>
                <w:webHidden/>
              </w:rPr>
              <w:fldChar w:fldCharType="separate"/>
            </w:r>
            <w:r w:rsidR="00A626A8">
              <w:rPr>
                <w:noProof/>
                <w:webHidden/>
              </w:rPr>
              <w:t>22</w:t>
            </w:r>
            <w:r w:rsidR="00A626A8">
              <w:rPr>
                <w:noProof/>
                <w:webHidden/>
              </w:rPr>
              <w:fldChar w:fldCharType="end"/>
            </w:r>
          </w:hyperlink>
        </w:p>
        <w:p w14:paraId="6C2212B0" w14:textId="3B913324" w:rsidR="00A626A8" w:rsidRDefault="00771BF9">
          <w:pPr>
            <w:pStyle w:val="Obsah2"/>
            <w:tabs>
              <w:tab w:val="left" w:pos="880"/>
              <w:tab w:val="right" w:leader="dot" w:pos="9062"/>
            </w:tabs>
            <w:rPr>
              <w:rFonts w:eastAsiaTheme="minorEastAsia"/>
              <w:noProof/>
              <w:lang w:eastAsia="sk-SK"/>
            </w:rPr>
          </w:pPr>
          <w:hyperlink w:anchor="_Toc509383577" w:history="1">
            <w:r w:rsidR="00A626A8" w:rsidRPr="00424637">
              <w:rPr>
                <w:rStyle w:val="Hypertextovprepojenie"/>
                <w:noProof/>
              </w:rPr>
              <w:t>5.3</w:t>
            </w:r>
            <w:r w:rsidR="00A626A8">
              <w:rPr>
                <w:rFonts w:eastAsiaTheme="minorEastAsia"/>
                <w:noProof/>
                <w:lang w:eastAsia="sk-SK"/>
              </w:rPr>
              <w:tab/>
            </w:r>
            <w:r w:rsidR="00A626A8" w:rsidRPr="00424637">
              <w:rPr>
                <w:rStyle w:val="Hypertextovprepojenie"/>
                <w:noProof/>
              </w:rPr>
              <w:t>Návštevnosť roklín v Slovenskom raji</w:t>
            </w:r>
            <w:r w:rsidR="00A626A8">
              <w:rPr>
                <w:noProof/>
                <w:webHidden/>
              </w:rPr>
              <w:tab/>
            </w:r>
            <w:r w:rsidR="00A626A8">
              <w:rPr>
                <w:noProof/>
                <w:webHidden/>
              </w:rPr>
              <w:fldChar w:fldCharType="begin"/>
            </w:r>
            <w:r w:rsidR="00A626A8">
              <w:rPr>
                <w:noProof/>
                <w:webHidden/>
              </w:rPr>
              <w:instrText xml:space="preserve"> PAGEREF _Toc509383577 \h </w:instrText>
            </w:r>
            <w:r w:rsidR="00A626A8">
              <w:rPr>
                <w:noProof/>
                <w:webHidden/>
              </w:rPr>
            </w:r>
            <w:r w:rsidR="00A626A8">
              <w:rPr>
                <w:noProof/>
                <w:webHidden/>
              </w:rPr>
              <w:fldChar w:fldCharType="separate"/>
            </w:r>
            <w:r w:rsidR="00A626A8">
              <w:rPr>
                <w:noProof/>
                <w:webHidden/>
              </w:rPr>
              <w:t>25</w:t>
            </w:r>
            <w:r w:rsidR="00A626A8">
              <w:rPr>
                <w:noProof/>
                <w:webHidden/>
              </w:rPr>
              <w:fldChar w:fldCharType="end"/>
            </w:r>
          </w:hyperlink>
        </w:p>
        <w:p w14:paraId="7233E737" w14:textId="33516B55" w:rsidR="00A626A8" w:rsidRDefault="00771BF9">
          <w:pPr>
            <w:pStyle w:val="Obsah1"/>
            <w:tabs>
              <w:tab w:val="left" w:pos="440"/>
              <w:tab w:val="right" w:leader="dot" w:pos="9062"/>
            </w:tabs>
            <w:rPr>
              <w:rFonts w:eastAsiaTheme="minorEastAsia"/>
              <w:noProof/>
              <w:lang w:eastAsia="sk-SK"/>
            </w:rPr>
          </w:pPr>
          <w:hyperlink w:anchor="_Toc509383578" w:history="1">
            <w:r w:rsidR="00A626A8" w:rsidRPr="00424637">
              <w:rPr>
                <w:rStyle w:val="Hypertextovprepojenie"/>
                <w:noProof/>
              </w:rPr>
              <w:t>5.</w:t>
            </w:r>
            <w:r w:rsidR="00A626A8">
              <w:rPr>
                <w:rFonts w:eastAsiaTheme="minorEastAsia"/>
                <w:noProof/>
                <w:lang w:eastAsia="sk-SK"/>
              </w:rPr>
              <w:tab/>
            </w:r>
            <w:r w:rsidR="00A626A8" w:rsidRPr="00424637">
              <w:rPr>
                <w:rStyle w:val="Hypertextovprepojenie"/>
                <w:noProof/>
              </w:rPr>
              <w:t>Zmena klímy a jej možné dopady na cestovný ruch v NP Slovenský raj</w:t>
            </w:r>
            <w:r w:rsidR="00A626A8">
              <w:rPr>
                <w:noProof/>
                <w:webHidden/>
              </w:rPr>
              <w:tab/>
            </w:r>
            <w:r w:rsidR="00A626A8">
              <w:rPr>
                <w:noProof/>
                <w:webHidden/>
              </w:rPr>
              <w:fldChar w:fldCharType="begin"/>
            </w:r>
            <w:r w:rsidR="00A626A8">
              <w:rPr>
                <w:noProof/>
                <w:webHidden/>
              </w:rPr>
              <w:instrText xml:space="preserve"> PAGEREF _Toc509383578 \h </w:instrText>
            </w:r>
            <w:r w:rsidR="00A626A8">
              <w:rPr>
                <w:noProof/>
                <w:webHidden/>
              </w:rPr>
            </w:r>
            <w:r w:rsidR="00A626A8">
              <w:rPr>
                <w:noProof/>
                <w:webHidden/>
              </w:rPr>
              <w:fldChar w:fldCharType="separate"/>
            </w:r>
            <w:r w:rsidR="00A626A8">
              <w:rPr>
                <w:noProof/>
                <w:webHidden/>
              </w:rPr>
              <w:t>26</w:t>
            </w:r>
            <w:r w:rsidR="00A626A8">
              <w:rPr>
                <w:noProof/>
                <w:webHidden/>
              </w:rPr>
              <w:fldChar w:fldCharType="end"/>
            </w:r>
          </w:hyperlink>
        </w:p>
        <w:p w14:paraId="4C3A1DCB" w14:textId="068E13B4" w:rsidR="00A626A8" w:rsidRDefault="00771BF9">
          <w:pPr>
            <w:pStyle w:val="Obsah2"/>
            <w:tabs>
              <w:tab w:val="left" w:pos="880"/>
              <w:tab w:val="right" w:leader="dot" w:pos="9062"/>
            </w:tabs>
            <w:rPr>
              <w:rFonts w:eastAsiaTheme="minorEastAsia"/>
              <w:noProof/>
              <w:lang w:eastAsia="sk-SK"/>
            </w:rPr>
          </w:pPr>
          <w:hyperlink w:anchor="_Toc509383579" w:history="1">
            <w:r w:rsidR="00A626A8" w:rsidRPr="00424637">
              <w:rPr>
                <w:rStyle w:val="Hypertextovprepojenie"/>
                <w:noProof/>
              </w:rPr>
              <w:t>5.1</w:t>
            </w:r>
            <w:r w:rsidR="00A626A8">
              <w:rPr>
                <w:rFonts w:eastAsiaTheme="minorEastAsia"/>
                <w:noProof/>
                <w:lang w:eastAsia="sk-SK"/>
              </w:rPr>
              <w:tab/>
            </w:r>
            <w:r w:rsidR="00A626A8" w:rsidRPr="00424637">
              <w:rPr>
                <w:rStyle w:val="Hypertextovprepojenie"/>
                <w:noProof/>
              </w:rPr>
              <w:t>Zmena klímy a NP Slovenský raj</w:t>
            </w:r>
            <w:r w:rsidR="00A626A8">
              <w:rPr>
                <w:noProof/>
                <w:webHidden/>
              </w:rPr>
              <w:tab/>
            </w:r>
            <w:r w:rsidR="00A626A8">
              <w:rPr>
                <w:noProof/>
                <w:webHidden/>
              </w:rPr>
              <w:fldChar w:fldCharType="begin"/>
            </w:r>
            <w:r w:rsidR="00A626A8">
              <w:rPr>
                <w:noProof/>
                <w:webHidden/>
              </w:rPr>
              <w:instrText xml:space="preserve"> PAGEREF _Toc509383579 \h </w:instrText>
            </w:r>
            <w:r w:rsidR="00A626A8">
              <w:rPr>
                <w:noProof/>
                <w:webHidden/>
              </w:rPr>
            </w:r>
            <w:r w:rsidR="00A626A8">
              <w:rPr>
                <w:noProof/>
                <w:webHidden/>
              </w:rPr>
              <w:fldChar w:fldCharType="separate"/>
            </w:r>
            <w:r w:rsidR="00A626A8">
              <w:rPr>
                <w:noProof/>
                <w:webHidden/>
              </w:rPr>
              <w:t>26</w:t>
            </w:r>
            <w:r w:rsidR="00A626A8">
              <w:rPr>
                <w:noProof/>
                <w:webHidden/>
              </w:rPr>
              <w:fldChar w:fldCharType="end"/>
            </w:r>
          </w:hyperlink>
        </w:p>
        <w:p w14:paraId="6C95D57A" w14:textId="6B42E7C3" w:rsidR="00A626A8" w:rsidRDefault="00771BF9">
          <w:pPr>
            <w:pStyle w:val="Obsah2"/>
            <w:tabs>
              <w:tab w:val="left" w:pos="880"/>
              <w:tab w:val="right" w:leader="dot" w:pos="9062"/>
            </w:tabs>
            <w:rPr>
              <w:rFonts w:eastAsiaTheme="minorEastAsia"/>
              <w:noProof/>
              <w:lang w:eastAsia="sk-SK"/>
            </w:rPr>
          </w:pPr>
          <w:hyperlink w:anchor="_Toc509383580" w:history="1">
            <w:r w:rsidR="00A626A8" w:rsidRPr="00424637">
              <w:rPr>
                <w:rStyle w:val="Hypertextovprepojenie"/>
                <w:noProof/>
              </w:rPr>
              <w:t>5.2</w:t>
            </w:r>
            <w:r w:rsidR="00A626A8">
              <w:rPr>
                <w:rFonts w:eastAsiaTheme="minorEastAsia"/>
                <w:noProof/>
                <w:lang w:eastAsia="sk-SK"/>
              </w:rPr>
              <w:tab/>
            </w:r>
            <w:r w:rsidR="00A626A8" w:rsidRPr="00424637">
              <w:rPr>
                <w:rStyle w:val="Hypertextovprepojenie"/>
                <w:noProof/>
              </w:rPr>
              <w:t>Analýza produktov v CR v NP Slovenský raj vzhľadom na dopady zmeny klímy</w:t>
            </w:r>
            <w:r w:rsidR="00A626A8">
              <w:rPr>
                <w:noProof/>
                <w:webHidden/>
              </w:rPr>
              <w:tab/>
            </w:r>
            <w:r w:rsidR="00A626A8">
              <w:rPr>
                <w:noProof/>
                <w:webHidden/>
              </w:rPr>
              <w:fldChar w:fldCharType="begin"/>
            </w:r>
            <w:r w:rsidR="00A626A8">
              <w:rPr>
                <w:noProof/>
                <w:webHidden/>
              </w:rPr>
              <w:instrText xml:space="preserve"> PAGEREF _Toc509383580 \h </w:instrText>
            </w:r>
            <w:r w:rsidR="00A626A8">
              <w:rPr>
                <w:noProof/>
                <w:webHidden/>
              </w:rPr>
            </w:r>
            <w:r w:rsidR="00A626A8">
              <w:rPr>
                <w:noProof/>
                <w:webHidden/>
              </w:rPr>
              <w:fldChar w:fldCharType="separate"/>
            </w:r>
            <w:r w:rsidR="00A626A8">
              <w:rPr>
                <w:noProof/>
                <w:webHidden/>
              </w:rPr>
              <w:t>30</w:t>
            </w:r>
            <w:r w:rsidR="00A626A8">
              <w:rPr>
                <w:noProof/>
                <w:webHidden/>
              </w:rPr>
              <w:fldChar w:fldCharType="end"/>
            </w:r>
          </w:hyperlink>
        </w:p>
        <w:p w14:paraId="4B2B9644" w14:textId="696C956F" w:rsidR="00A626A8" w:rsidRDefault="00771BF9">
          <w:pPr>
            <w:pStyle w:val="Obsah3"/>
            <w:tabs>
              <w:tab w:val="left" w:pos="1320"/>
              <w:tab w:val="right" w:leader="dot" w:pos="9062"/>
            </w:tabs>
            <w:rPr>
              <w:rFonts w:eastAsiaTheme="minorEastAsia"/>
              <w:noProof/>
              <w:lang w:eastAsia="sk-SK"/>
            </w:rPr>
          </w:pPr>
          <w:hyperlink w:anchor="_Toc509383581" w:history="1">
            <w:r w:rsidR="00A626A8" w:rsidRPr="00424637">
              <w:rPr>
                <w:rStyle w:val="Hypertextovprepojenie"/>
                <w:noProof/>
              </w:rPr>
              <w:t>5.2.1</w:t>
            </w:r>
            <w:r w:rsidR="00A626A8">
              <w:rPr>
                <w:rFonts w:eastAsiaTheme="minorEastAsia"/>
                <w:noProof/>
                <w:lang w:eastAsia="sk-SK"/>
              </w:rPr>
              <w:tab/>
            </w:r>
            <w:r w:rsidR="00A626A8" w:rsidRPr="00424637">
              <w:rPr>
                <w:rStyle w:val="Hypertextovprepojenie"/>
                <w:noProof/>
              </w:rPr>
              <w:t>Dopady zmeny klímy na letný cestovný ruch v NP Slovenský raj</w:t>
            </w:r>
            <w:r w:rsidR="00A626A8">
              <w:rPr>
                <w:noProof/>
                <w:webHidden/>
              </w:rPr>
              <w:tab/>
            </w:r>
            <w:r w:rsidR="00A626A8">
              <w:rPr>
                <w:noProof/>
                <w:webHidden/>
              </w:rPr>
              <w:fldChar w:fldCharType="begin"/>
            </w:r>
            <w:r w:rsidR="00A626A8">
              <w:rPr>
                <w:noProof/>
                <w:webHidden/>
              </w:rPr>
              <w:instrText xml:space="preserve"> PAGEREF _Toc509383581 \h </w:instrText>
            </w:r>
            <w:r w:rsidR="00A626A8">
              <w:rPr>
                <w:noProof/>
                <w:webHidden/>
              </w:rPr>
            </w:r>
            <w:r w:rsidR="00A626A8">
              <w:rPr>
                <w:noProof/>
                <w:webHidden/>
              </w:rPr>
              <w:fldChar w:fldCharType="separate"/>
            </w:r>
            <w:r w:rsidR="00A626A8">
              <w:rPr>
                <w:noProof/>
                <w:webHidden/>
              </w:rPr>
              <w:t>30</w:t>
            </w:r>
            <w:r w:rsidR="00A626A8">
              <w:rPr>
                <w:noProof/>
                <w:webHidden/>
              </w:rPr>
              <w:fldChar w:fldCharType="end"/>
            </w:r>
          </w:hyperlink>
        </w:p>
        <w:p w14:paraId="62308CBD" w14:textId="2D33DB59" w:rsidR="00A626A8" w:rsidRDefault="00771BF9">
          <w:pPr>
            <w:pStyle w:val="Obsah3"/>
            <w:tabs>
              <w:tab w:val="left" w:pos="1320"/>
              <w:tab w:val="right" w:leader="dot" w:pos="9062"/>
            </w:tabs>
            <w:rPr>
              <w:rFonts w:eastAsiaTheme="minorEastAsia"/>
              <w:noProof/>
              <w:lang w:eastAsia="sk-SK"/>
            </w:rPr>
          </w:pPr>
          <w:hyperlink w:anchor="_Toc509383582" w:history="1">
            <w:r w:rsidR="00A626A8" w:rsidRPr="00424637">
              <w:rPr>
                <w:rStyle w:val="Hypertextovprepojenie"/>
                <w:noProof/>
              </w:rPr>
              <w:t>5.2.2</w:t>
            </w:r>
            <w:r w:rsidR="00A626A8">
              <w:rPr>
                <w:rFonts w:eastAsiaTheme="minorEastAsia"/>
                <w:noProof/>
                <w:lang w:eastAsia="sk-SK"/>
              </w:rPr>
              <w:tab/>
            </w:r>
            <w:r w:rsidR="00A626A8" w:rsidRPr="00424637">
              <w:rPr>
                <w:rStyle w:val="Hypertextovprepojenie"/>
                <w:noProof/>
              </w:rPr>
              <w:t>Dopady zmeny klímy na zimný cestovný ruch v NP Slovenský raj</w:t>
            </w:r>
            <w:r w:rsidR="00A626A8">
              <w:rPr>
                <w:noProof/>
                <w:webHidden/>
              </w:rPr>
              <w:tab/>
            </w:r>
            <w:r w:rsidR="00A626A8">
              <w:rPr>
                <w:noProof/>
                <w:webHidden/>
              </w:rPr>
              <w:fldChar w:fldCharType="begin"/>
            </w:r>
            <w:r w:rsidR="00A626A8">
              <w:rPr>
                <w:noProof/>
                <w:webHidden/>
              </w:rPr>
              <w:instrText xml:space="preserve"> PAGEREF _Toc509383582 \h </w:instrText>
            </w:r>
            <w:r w:rsidR="00A626A8">
              <w:rPr>
                <w:noProof/>
                <w:webHidden/>
              </w:rPr>
            </w:r>
            <w:r w:rsidR="00A626A8">
              <w:rPr>
                <w:noProof/>
                <w:webHidden/>
              </w:rPr>
              <w:fldChar w:fldCharType="separate"/>
            </w:r>
            <w:r w:rsidR="00A626A8">
              <w:rPr>
                <w:noProof/>
                <w:webHidden/>
              </w:rPr>
              <w:t>32</w:t>
            </w:r>
            <w:r w:rsidR="00A626A8">
              <w:rPr>
                <w:noProof/>
                <w:webHidden/>
              </w:rPr>
              <w:fldChar w:fldCharType="end"/>
            </w:r>
          </w:hyperlink>
        </w:p>
        <w:p w14:paraId="7B9406EC" w14:textId="7AF16DE6" w:rsidR="00A626A8" w:rsidRDefault="00771BF9">
          <w:pPr>
            <w:pStyle w:val="Obsah3"/>
            <w:tabs>
              <w:tab w:val="left" w:pos="1320"/>
              <w:tab w:val="right" w:leader="dot" w:pos="9062"/>
            </w:tabs>
            <w:rPr>
              <w:rFonts w:eastAsiaTheme="minorEastAsia"/>
              <w:noProof/>
              <w:lang w:eastAsia="sk-SK"/>
            </w:rPr>
          </w:pPr>
          <w:hyperlink w:anchor="_Toc509383583" w:history="1">
            <w:r w:rsidR="00A626A8" w:rsidRPr="00424637">
              <w:rPr>
                <w:rStyle w:val="Hypertextovprepojenie"/>
                <w:noProof/>
              </w:rPr>
              <w:t>5.2.3</w:t>
            </w:r>
            <w:r w:rsidR="00A626A8">
              <w:rPr>
                <w:rFonts w:eastAsiaTheme="minorEastAsia"/>
                <w:noProof/>
                <w:lang w:eastAsia="sk-SK"/>
              </w:rPr>
              <w:tab/>
            </w:r>
            <w:r w:rsidR="00A626A8" w:rsidRPr="00424637">
              <w:rPr>
                <w:rStyle w:val="Hypertextovprepojenie"/>
                <w:noProof/>
              </w:rPr>
              <w:t>Záver z analýzy produktov v CR v NP Slovenský raj vzhľadom na dopady zmeny klímy</w:t>
            </w:r>
            <w:r w:rsidR="00A626A8">
              <w:rPr>
                <w:noProof/>
                <w:webHidden/>
              </w:rPr>
              <w:tab/>
            </w:r>
            <w:r w:rsidR="00A626A8">
              <w:rPr>
                <w:noProof/>
                <w:webHidden/>
              </w:rPr>
              <w:fldChar w:fldCharType="begin"/>
            </w:r>
            <w:r w:rsidR="00A626A8">
              <w:rPr>
                <w:noProof/>
                <w:webHidden/>
              </w:rPr>
              <w:instrText xml:space="preserve"> PAGEREF _Toc509383583 \h </w:instrText>
            </w:r>
            <w:r w:rsidR="00A626A8">
              <w:rPr>
                <w:noProof/>
                <w:webHidden/>
              </w:rPr>
            </w:r>
            <w:r w:rsidR="00A626A8">
              <w:rPr>
                <w:noProof/>
                <w:webHidden/>
              </w:rPr>
              <w:fldChar w:fldCharType="separate"/>
            </w:r>
            <w:r w:rsidR="00A626A8">
              <w:rPr>
                <w:noProof/>
                <w:webHidden/>
              </w:rPr>
              <w:t>35</w:t>
            </w:r>
            <w:r w:rsidR="00A626A8">
              <w:rPr>
                <w:noProof/>
                <w:webHidden/>
              </w:rPr>
              <w:fldChar w:fldCharType="end"/>
            </w:r>
          </w:hyperlink>
        </w:p>
        <w:p w14:paraId="78DA8AE2" w14:textId="61F66FCB" w:rsidR="00A626A8" w:rsidRDefault="00771BF9">
          <w:pPr>
            <w:pStyle w:val="Obsah2"/>
            <w:tabs>
              <w:tab w:val="left" w:pos="880"/>
              <w:tab w:val="right" w:leader="dot" w:pos="9062"/>
            </w:tabs>
            <w:rPr>
              <w:rFonts w:eastAsiaTheme="minorEastAsia"/>
              <w:noProof/>
              <w:lang w:eastAsia="sk-SK"/>
            </w:rPr>
          </w:pPr>
          <w:hyperlink w:anchor="_Toc509383584" w:history="1">
            <w:r w:rsidR="00A626A8" w:rsidRPr="00424637">
              <w:rPr>
                <w:rStyle w:val="Hypertextovprepojenie"/>
                <w:noProof/>
              </w:rPr>
              <w:t>5.3</w:t>
            </w:r>
            <w:r w:rsidR="00A626A8">
              <w:rPr>
                <w:rFonts w:eastAsiaTheme="minorEastAsia"/>
                <w:noProof/>
                <w:lang w:eastAsia="sk-SK"/>
              </w:rPr>
              <w:tab/>
            </w:r>
            <w:r w:rsidR="00A626A8" w:rsidRPr="00424637">
              <w:rPr>
                <w:rStyle w:val="Hypertextovprepojenie"/>
                <w:noProof/>
              </w:rPr>
              <w:t>Možné adaptačné riešenia pre cestovný ruch v NP Slovenský raj</w:t>
            </w:r>
            <w:r w:rsidR="00A626A8">
              <w:rPr>
                <w:noProof/>
                <w:webHidden/>
              </w:rPr>
              <w:tab/>
            </w:r>
            <w:r w:rsidR="00A626A8">
              <w:rPr>
                <w:noProof/>
                <w:webHidden/>
              </w:rPr>
              <w:fldChar w:fldCharType="begin"/>
            </w:r>
            <w:r w:rsidR="00A626A8">
              <w:rPr>
                <w:noProof/>
                <w:webHidden/>
              </w:rPr>
              <w:instrText xml:space="preserve"> PAGEREF _Toc509383584 \h </w:instrText>
            </w:r>
            <w:r w:rsidR="00A626A8">
              <w:rPr>
                <w:noProof/>
                <w:webHidden/>
              </w:rPr>
            </w:r>
            <w:r w:rsidR="00A626A8">
              <w:rPr>
                <w:noProof/>
                <w:webHidden/>
              </w:rPr>
              <w:fldChar w:fldCharType="separate"/>
            </w:r>
            <w:r w:rsidR="00A626A8">
              <w:rPr>
                <w:noProof/>
                <w:webHidden/>
              </w:rPr>
              <w:t>36</w:t>
            </w:r>
            <w:r w:rsidR="00A626A8">
              <w:rPr>
                <w:noProof/>
                <w:webHidden/>
              </w:rPr>
              <w:fldChar w:fldCharType="end"/>
            </w:r>
          </w:hyperlink>
        </w:p>
        <w:p w14:paraId="730F09BE" w14:textId="53C6C3A2" w:rsidR="00A626A8" w:rsidRDefault="00771BF9">
          <w:pPr>
            <w:pStyle w:val="Obsah3"/>
            <w:tabs>
              <w:tab w:val="left" w:pos="1320"/>
              <w:tab w:val="right" w:leader="dot" w:pos="9062"/>
            </w:tabs>
            <w:rPr>
              <w:rFonts w:eastAsiaTheme="minorEastAsia"/>
              <w:noProof/>
              <w:lang w:eastAsia="sk-SK"/>
            </w:rPr>
          </w:pPr>
          <w:hyperlink w:anchor="_Toc509383585" w:history="1">
            <w:r w:rsidR="00A626A8" w:rsidRPr="00424637">
              <w:rPr>
                <w:rStyle w:val="Hypertextovprepojenie"/>
                <w:noProof/>
              </w:rPr>
              <w:t>5.3.1</w:t>
            </w:r>
            <w:r w:rsidR="00A626A8">
              <w:rPr>
                <w:rFonts w:eastAsiaTheme="minorEastAsia"/>
                <w:noProof/>
                <w:lang w:eastAsia="sk-SK"/>
              </w:rPr>
              <w:tab/>
            </w:r>
            <w:r w:rsidR="00A626A8" w:rsidRPr="00424637">
              <w:rPr>
                <w:rStyle w:val="Hypertextovprepojenie"/>
                <w:noProof/>
              </w:rPr>
              <w:t>Adaptačné opatrenia v oblasti biodiverzity</w:t>
            </w:r>
            <w:r w:rsidR="00A626A8">
              <w:rPr>
                <w:noProof/>
                <w:webHidden/>
              </w:rPr>
              <w:tab/>
            </w:r>
            <w:r w:rsidR="00A626A8">
              <w:rPr>
                <w:noProof/>
                <w:webHidden/>
              </w:rPr>
              <w:fldChar w:fldCharType="begin"/>
            </w:r>
            <w:r w:rsidR="00A626A8">
              <w:rPr>
                <w:noProof/>
                <w:webHidden/>
              </w:rPr>
              <w:instrText xml:space="preserve"> PAGEREF _Toc509383585 \h </w:instrText>
            </w:r>
            <w:r w:rsidR="00A626A8">
              <w:rPr>
                <w:noProof/>
                <w:webHidden/>
              </w:rPr>
            </w:r>
            <w:r w:rsidR="00A626A8">
              <w:rPr>
                <w:noProof/>
                <w:webHidden/>
              </w:rPr>
              <w:fldChar w:fldCharType="separate"/>
            </w:r>
            <w:r w:rsidR="00A626A8">
              <w:rPr>
                <w:noProof/>
                <w:webHidden/>
              </w:rPr>
              <w:t>36</w:t>
            </w:r>
            <w:r w:rsidR="00A626A8">
              <w:rPr>
                <w:noProof/>
                <w:webHidden/>
              </w:rPr>
              <w:fldChar w:fldCharType="end"/>
            </w:r>
          </w:hyperlink>
        </w:p>
        <w:p w14:paraId="22F5B1CA" w14:textId="2262AE83" w:rsidR="00A626A8" w:rsidRDefault="00771BF9">
          <w:pPr>
            <w:pStyle w:val="Obsah3"/>
            <w:tabs>
              <w:tab w:val="left" w:pos="1320"/>
              <w:tab w:val="right" w:leader="dot" w:pos="9062"/>
            </w:tabs>
            <w:rPr>
              <w:rFonts w:eastAsiaTheme="minorEastAsia"/>
              <w:noProof/>
              <w:lang w:eastAsia="sk-SK"/>
            </w:rPr>
          </w:pPr>
          <w:hyperlink w:anchor="_Toc509383586" w:history="1">
            <w:r w:rsidR="00A626A8" w:rsidRPr="00424637">
              <w:rPr>
                <w:rStyle w:val="Hypertextovprepojenie"/>
                <w:noProof/>
              </w:rPr>
              <w:t>5.3.2</w:t>
            </w:r>
            <w:r w:rsidR="00A626A8">
              <w:rPr>
                <w:rFonts w:eastAsiaTheme="minorEastAsia"/>
                <w:noProof/>
                <w:lang w:eastAsia="sk-SK"/>
              </w:rPr>
              <w:tab/>
            </w:r>
            <w:r w:rsidR="00A626A8" w:rsidRPr="00424637">
              <w:rPr>
                <w:rStyle w:val="Hypertextovprepojenie"/>
                <w:noProof/>
              </w:rPr>
              <w:t>Adaptačné opatrenia v cestovnom ruchu</w:t>
            </w:r>
            <w:r w:rsidR="00A626A8">
              <w:rPr>
                <w:noProof/>
                <w:webHidden/>
              </w:rPr>
              <w:tab/>
            </w:r>
            <w:r w:rsidR="00A626A8">
              <w:rPr>
                <w:noProof/>
                <w:webHidden/>
              </w:rPr>
              <w:fldChar w:fldCharType="begin"/>
            </w:r>
            <w:r w:rsidR="00A626A8">
              <w:rPr>
                <w:noProof/>
                <w:webHidden/>
              </w:rPr>
              <w:instrText xml:space="preserve"> PAGEREF _Toc509383586 \h </w:instrText>
            </w:r>
            <w:r w:rsidR="00A626A8">
              <w:rPr>
                <w:noProof/>
                <w:webHidden/>
              </w:rPr>
            </w:r>
            <w:r w:rsidR="00A626A8">
              <w:rPr>
                <w:noProof/>
                <w:webHidden/>
              </w:rPr>
              <w:fldChar w:fldCharType="separate"/>
            </w:r>
            <w:r w:rsidR="00A626A8">
              <w:rPr>
                <w:noProof/>
                <w:webHidden/>
              </w:rPr>
              <w:t>37</w:t>
            </w:r>
            <w:r w:rsidR="00A626A8">
              <w:rPr>
                <w:noProof/>
                <w:webHidden/>
              </w:rPr>
              <w:fldChar w:fldCharType="end"/>
            </w:r>
          </w:hyperlink>
        </w:p>
        <w:p w14:paraId="46B25E49" w14:textId="680535C6" w:rsidR="00A626A8" w:rsidRDefault="00771BF9">
          <w:pPr>
            <w:pStyle w:val="Obsah3"/>
            <w:tabs>
              <w:tab w:val="left" w:pos="1320"/>
              <w:tab w:val="right" w:leader="dot" w:pos="9062"/>
            </w:tabs>
            <w:rPr>
              <w:rFonts w:eastAsiaTheme="minorEastAsia"/>
              <w:noProof/>
              <w:lang w:eastAsia="sk-SK"/>
            </w:rPr>
          </w:pPr>
          <w:hyperlink w:anchor="_Toc509383587" w:history="1">
            <w:r w:rsidR="00A626A8" w:rsidRPr="00424637">
              <w:rPr>
                <w:rStyle w:val="Hypertextovprepojenie"/>
                <w:noProof/>
              </w:rPr>
              <w:t>5.3.3</w:t>
            </w:r>
            <w:r w:rsidR="00A626A8">
              <w:rPr>
                <w:rFonts w:eastAsiaTheme="minorEastAsia"/>
                <w:noProof/>
                <w:lang w:eastAsia="sk-SK"/>
              </w:rPr>
              <w:tab/>
            </w:r>
            <w:r w:rsidR="00A626A8" w:rsidRPr="00424637">
              <w:rPr>
                <w:rStyle w:val="Hypertextovprepojenie"/>
                <w:noProof/>
              </w:rPr>
              <w:t>Konkrétna aplikácia adaptačného opatrenia v NP Slovenský raj (projektový zámer)</w:t>
            </w:r>
            <w:r w:rsidR="00A626A8">
              <w:rPr>
                <w:noProof/>
                <w:webHidden/>
              </w:rPr>
              <w:tab/>
            </w:r>
            <w:r w:rsidR="00A626A8">
              <w:rPr>
                <w:noProof/>
                <w:webHidden/>
              </w:rPr>
              <w:fldChar w:fldCharType="begin"/>
            </w:r>
            <w:r w:rsidR="00A626A8">
              <w:rPr>
                <w:noProof/>
                <w:webHidden/>
              </w:rPr>
              <w:instrText xml:space="preserve"> PAGEREF _Toc509383587 \h </w:instrText>
            </w:r>
            <w:r w:rsidR="00A626A8">
              <w:rPr>
                <w:noProof/>
                <w:webHidden/>
              </w:rPr>
            </w:r>
            <w:r w:rsidR="00A626A8">
              <w:rPr>
                <w:noProof/>
                <w:webHidden/>
              </w:rPr>
              <w:fldChar w:fldCharType="separate"/>
            </w:r>
            <w:r w:rsidR="00A626A8">
              <w:rPr>
                <w:noProof/>
                <w:webHidden/>
              </w:rPr>
              <w:t>40</w:t>
            </w:r>
            <w:r w:rsidR="00A626A8">
              <w:rPr>
                <w:noProof/>
                <w:webHidden/>
              </w:rPr>
              <w:fldChar w:fldCharType="end"/>
            </w:r>
          </w:hyperlink>
        </w:p>
        <w:p w14:paraId="7045E409" w14:textId="77758D83" w:rsidR="009C564B" w:rsidRDefault="009C564B" w:rsidP="0038174C">
          <w:pPr>
            <w:spacing w:line="276" w:lineRule="auto"/>
          </w:pPr>
          <w:r>
            <w:rPr>
              <w:b/>
              <w:bCs/>
            </w:rPr>
            <w:fldChar w:fldCharType="end"/>
          </w:r>
        </w:p>
      </w:sdtContent>
    </w:sdt>
    <w:p w14:paraId="3B4E5AF0" w14:textId="480384F9" w:rsidR="00453519" w:rsidRDefault="00453519" w:rsidP="0038174C">
      <w:pPr>
        <w:spacing w:line="276" w:lineRule="auto"/>
        <w:rPr>
          <w:sz w:val="32"/>
          <w:szCs w:val="32"/>
        </w:rPr>
      </w:pPr>
    </w:p>
    <w:p w14:paraId="4A1131DA" w14:textId="10B25988" w:rsidR="00453519" w:rsidRDefault="00453519" w:rsidP="0038174C">
      <w:pPr>
        <w:spacing w:line="276" w:lineRule="auto"/>
        <w:rPr>
          <w:sz w:val="32"/>
          <w:szCs w:val="32"/>
        </w:rPr>
      </w:pPr>
    </w:p>
    <w:p w14:paraId="25216803" w14:textId="0D9FF803" w:rsidR="00453519" w:rsidRDefault="00453519" w:rsidP="0038174C">
      <w:pPr>
        <w:spacing w:line="276" w:lineRule="auto"/>
        <w:rPr>
          <w:sz w:val="32"/>
          <w:szCs w:val="32"/>
        </w:rPr>
      </w:pPr>
    </w:p>
    <w:p w14:paraId="4CFA320D" w14:textId="355F07F2" w:rsidR="00453519" w:rsidRDefault="00453519" w:rsidP="0038174C">
      <w:pPr>
        <w:spacing w:line="276" w:lineRule="auto"/>
        <w:rPr>
          <w:sz w:val="32"/>
          <w:szCs w:val="32"/>
        </w:rPr>
      </w:pPr>
    </w:p>
    <w:p w14:paraId="2C464E90" w14:textId="4ABF7A52" w:rsidR="00F10A67" w:rsidRDefault="00F10A67" w:rsidP="0038174C">
      <w:pPr>
        <w:spacing w:line="276" w:lineRule="auto"/>
        <w:rPr>
          <w:sz w:val="32"/>
          <w:szCs w:val="32"/>
        </w:rPr>
      </w:pPr>
    </w:p>
    <w:p w14:paraId="2EC471BC" w14:textId="414BF9E3" w:rsidR="000A65B0" w:rsidRDefault="000A65B0" w:rsidP="0038174C">
      <w:pPr>
        <w:spacing w:line="276" w:lineRule="auto"/>
        <w:rPr>
          <w:sz w:val="32"/>
          <w:szCs w:val="32"/>
        </w:rPr>
      </w:pPr>
    </w:p>
    <w:p w14:paraId="45034CF0" w14:textId="77777777" w:rsidR="000A65B0" w:rsidRDefault="000A65B0" w:rsidP="0038174C">
      <w:pPr>
        <w:spacing w:line="276" w:lineRule="auto"/>
        <w:rPr>
          <w:sz w:val="32"/>
          <w:szCs w:val="32"/>
        </w:rPr>
      </w:pPr>
    </w:p>
    <w:p w14:paraId="714569E1" w14:textId="14BCCE97" w:rsidR="00453519" w:rsidRDefault="00DA1335" w:rsidP="00E30BB1">
      <w:pPr>
        <w:pStyle w:val="Nadpis1"/>
        <w:numPr>
          <w:ilvl w:val="0"/>
          <w:numId w:val="1"/>
        </w:numPr>
        <w:spacing w:line="276" w:lineRule="auto"/>
      </w:pPr>
      <w:bookmarkStart w:id="0" w:name="_Toc509383568"/>
      <w:r>
        <w:lastRenderedPageBreak/>
        <w:t>Úvod</w:t>
      </w:r>
      <w:bookmarkEnd w:id="0"/>
    </w:p>
    <w:p w14:paraId="2A4E3A4B" w14:textId="161F1502" w:rsidR="00F21F4D" w:rsidRDefault="00F21F4D" w:rsidP="00F21F4D"/>
    <w:p w14:paraId="4175A553" w14:textId="77777777" w:rsidR="00F21F4D" w:rsidRPr="00F21F4D" w:rsidRDefault="00F21F4D" w:rsidP="00F21F4D"/>
    <w:p w14:paraId="6197EAA4" w14:textId="7740D0D2" w:rsidR="002039FF" w:rsidRDefault="004B2B9E" w:rsidP="009B2E6A">
      <w:pPr>
        <w:pStyle w:val="Nadpis1"/>
        <w:numPr>
          <w:ilvl w:val="0"/>
          <w:numId w:val="1"/>
        </w:numPr>
        <w:spacing w:line="276" w:lineRule="auto"/>
      </w:pPr>
      <w:bookmarkStart w:id="1" w:name="_Toc509383569"/>
      <w:r>
        <w:t>Prečo riešiť zmenu klímy v cestovnom ruchu?</w:t>
      </w:r>
      <w:bookmarkEnd w:id="1"/>
      <w:r w:rsidR="00743B1F">
        <w:t xml:space="preserve"> </w:t>
      </w:r>
    </w:p>
    <w:p w14:paraId="0C97F790" w14:textId="77777777" w:rsidR="006D0FF0" w:rsidRPr="006D0FF0" w:rsidRDefault="006D0FF0" w:rsidP="006D0FF0"/>
    <w:p w14:paraId="20CCCBFB" w14:textId="77777777" w:rsidR="000A1607" w:rsidRDefault="000A1607" w:rsidP="000A65B0">
      <w:pPr>
        <w:autoSpaceDE w:val="0"/>
        <w:autoSpaceDN w:val="0"/>
        <w:adjustRightInd w:val="0"/>
        <w:spacing w:after="0" w:line="276" w:lineRule="auto"/>
        <w:jc w:val="both"/>
        <w:rPr>
          <w:rFonts w:cstheme="minorHAnsi"/>
        </w:rPr>
      </w:pPr>
    </w:p>
    <w:p w14:paraId="7F21AA2D" w14:textId="48E080EC" w:rsidR="000A1607" w:rsidRDefault="00771BF9" w:rsidP="000A65B0">
      <w:pPr>
        <w:autoSpaceDE w:val="0"/>
        <w:autoSpaceDN w:val="0"/>
        <w:adjustRightInd w:val="0"/>
        <w:spacing w:after="0" w:line="276" w:lineRule="auto"/>
        <w:jc w:val="both"/>
        <w:rPr>
          <w:rFonts w:cstheme="minorHAnsi"/>
        </w:rPr>
      </w:pPr>
      <w:hyperlink r:id="rId9" w:history="1">
        <w:r w:rsidR="000A1607" w:rsidRPr="00C268B1">
          <w:rPr>
            <w:rStyle w:val="Hypertextovprepojenie"/>
            <w:rFonts w:cstheme="minorHAnsi"/>
          </w:rPr>
          <w:t>http://sdt.unwto.org/sites/all/files/docpdf/climate2008.pdf</w:t>
        </w:r>
      </w:hyperlink>
    </w:p>
    <w:p w14:paraId="40212ED5" w14:textId="5D2C14AA" w:rsidR="000A65B0" w:rsidRDefault="00C37E1B" w:rsidP="000A65B0">
      <w:pPr>
        <w:autoSpaceDE w:val="0"/>
        <w:autoSpaceDN w:val="0"/>
        <w:adjustRightInd w:val="0"/>
        <w:spacing w:after="0" w:line="276" w:lineRule="auto"/>
        <w:jc w:val="both"/>
        <w:rPr>
          <w:rFonts w:cstheme="minorHAnsi"/>
        </w:rPr>
      </w:pPr>
      <w:r>
        <w:rPr>
          <w:rFonts w:cstheme="minorHAnsi"/>
        </w:rPr>
        <w:t>Cestovný ruch</w:t>
      </w:r>
      <w:r w:rsidR="000A65B0" w:rsidRPr="001C6906">
        <w:rPr>
          <w:rFonts w:cstheme="minorHAnsi"/>
        </w:rPr>
        <w:t xml:space="preserve"> </w:t>
      </w:r>
      <w:r>
        <w:rPr>
          <w:rFonts w:cstheme="minorHAnsi"/>
        </w:rPr>
        <w:t xml:space="preserve">(CR) </w:t>
      </w:r>
      <w:r w:rsidR="000A65B0" w:rsidRPr="001C6906">
        <w:rPr>
          <w:rFonts w:cstheme="minorHAnsi"/>
        </w:rPr>
        <w:t>všeobecne sa v súčasnej dobe nachádza v unikátnej a nezávideniahodnej pozícii, pretože je jeden z hlavných producentov skleníkových plynov (z globálneho hľadiska hlavne prostredníctvom transportu tu</w:t>
      </w:r>
      <w:r>
        <w:rPr>
          <w:rFonts w:cstheme="minorHAnsi"/>
        </w:rPr>
        <w:t>ristov, v prípade regionálneho CR</w:t>
      </w:r>
      <w:r w:rsidR="000A65B0" w:rsidRPr="001C6906">
        <w:rPr>
          <w:rFonts w:cstheme="minorHAnsi"/>
        </w:rPr>
        <w:t xml:space="preserve"> je príspevok dopravy nízky).</w:t>
      </w:r>
      <w:r w:rsidR="000A65B0">
        <w:rPr>
          <w:rFonts w:cstheme="minorHAnsi"/>
        </w:rPr>
        <w:t xml:space="preserve"> </w:t>
      </w:r>
      <w:r w:rsidR="000A65B0" w:rsidRPr="001C6906">
        <w:rPr>
          <w:rFonts w:cstheme="minorHAnsi"/>
        </w:rPr>
        <w:t xml:space="preserve">Príspevok </w:t>
      </w:r>
      <w:r>
        <w:rPr>
          <w:rFonts w:cstheme="minorHAnsi"/>
        </w:rPr>
        <w:t>CR</w:t>
      </w:r>
      <w:r w:rsidR="000A65B0" w:rsidRPr="001C6906">
        <w:rPr>
          <w:rFonts w:cstheme="minorHAnsi"/>
        </w:rPr>
        <w:t xml:space="preserve"> k produkcii skleníkových plynov ras</w:t>
      </w:r>
      <w:r>
        <w:rPr>
          <w:rFonts w:cstheme="minorHAnsi"/>
        </w:rPr>
        <w:t>tie. Modely ukazujú, že</w:t>
      </w:r>
      <w:r w:rsidR="000A65B0" w:rsidRPr="001C6906">
        <w:rPr>
          <w:rFonts w:cstheme="minorHAnsi"/>
        </w:rPr>
        <w:t xml:space="preserve"> prispieva</w:t>
      </w:r>
      <w:r w:rsidR="000A65B0">
        <w:rPr>
          <w:rFonts w:cstheme="minorHAnsi"/>
        </w:rPr>
        <w:t xml:space="preserve"> </w:t>
      </w:r>
      <w:r w:rsidR="000A65B0" w:rsidRPr="001C6906">
        <w:rPr>
          <w:rFonts w:cstheme="minorHAnsi"/>
        </w:rPr>
        <w:t>k celkovej antropogénnej produkcii CO</w:t>
      </w:r>
      <w:r w:rsidR="000A65B0" w:rsidRPr="00634AD4">
        <w:rPr>
          <w:rFonts w:cstheme="minorHAnsi"/>
          <w:vertAlign w:val="subscript"/>
        </w:rPr>
        <w:t>2</w:t>
      </w:r>
      <w:r w:rsidR="000A65B0" w:rsidRPr="001C6906">
        <w:rPr>
          <w:rFonts w:cstheme="minorHAnsi"/>
        </w:rPr>
        <w:t xml:space="preserve"> v rozmedzí od 3,9 do 6 %, pričom najpresnejšie odhady</w:t>
      </w:r>
      <w:r w:rsidR="000A65B0">
        <w:rPr>
          <w:rFonts w:cstheme="minorHAnsi"/>
        </w:rPr>
        <w:t xml:space="preserve"> </w:t>
      </w:r>
      <w:r w:rsidR="000A65B0" w:rsidRPr="001C6906">
        <w:rPr>
          <w:rFonts w:cstheme="minorHAnsi"/>
        </w:rPr>
        <w:t>hovoria o 4,9 %. Podľa ďalších odhadov sa množstvo e</w:t>
      </w:r>
      <w:r>
        <w:rPr>
          <w:rFonts w:cstheme="minorHAnsi"/>
        </w:rPr>
        <w:t>misií, spôsobených CR, zvyšuje</w:t>
      </w:r>
      <w:r w:rsidR="000A65B0" w:rsidRPr="001C6906">
        <w:rPr>
          <w:rFonts w:cstheme="minorHAnsi"/>
        </w:rPr>
        <w:t xml:space="preserve"> od roku</w:t>
      </w:r>
      <w:r w:rsidR="000A65B0">
        <w:rPr>
          <w:rFonts w:cstheme="minorHAnsi"/>
        </w:rPr>
        <w:t xml:space="preserve"> </w:t>
      </w:r>
      <w:r w:rsidR="000A65B0" w:rsidRPr="001C6906">
        <w:rPr>
          <w:rFonts w:cstheme="minorHAnsi"/>
        </w:rPr>
        <w:t>2005 do roku 2035 o 130 %. K zmene klímy, kde hlavným prejavom je neustály nárast celkovej</w:t>
      </w:r>
      <w:r w:rsidR="000A65B0">
        <w:rPr>
          <w:rFonts w:cstheme="minorHAnsi"/>
        </w:rPr>
        <w:t xml:space="preserve"> </w:t>
      </w:r>
      <w:r w:rsidR="000A65B0" w:rsidRPr="001C6906">
        <w:rPr>
          <w:rFonts w:cstheme="minorHAnsi"/>
        </w:rPr>
        <w:t xml:space="preserve">priemernej teploty, teda prispieva aj globálny </w:t>
      </w:r>
      <w:r>
        <w:rPr>
          <w:rFonts w:cstheme="minorHAnsi"/>
        </w:rPr>
        <w:t>cestovný ruch</w:t>
      </w:r>
      <w:r w:rsidR="000A65B0" w:rsidRPr="001C6906">
        <w:rPr>
          <w:rFonts w:cstheme="minorHAnsi"/>
        </w:rPr>
        <w:t xml:space="preserve">. </w:t>
      </w:r>
    </w:p>
    <w:p w14:paraId="540E656A" w14:textId="529A33A0" w:rsidR="000A65B0" w:rsidRDefault="00C37E1B" w:rsidP="000A65B0">
      <w:pPr>
        <w:spacing w:line="276" w:lineRule="auto"/>
        <w:jc w:val="both"/>
        <w:rPr>
          <w:rFonts w:cstheme="minorHAnsi"/>
        </w:rPr>
      </w:pPr>
      <w:r>
        <w:rPr>
          <w:rFonts w:cstheme="minorHAnsi"/>
        </w:rPr>
        <w:t xml:space="preserve">Na druhej strane je CR </w:t>
      </w:r>
      <w:r w:rsidR="000A65B0" w:rsidRPr="001C6906">
        <w:rPr>
          <w:rFonts w:cstheme="minorHAnsi"/>
        </w:rPr>
        <w:t>zároveň významnou obeťou negatívnych dopadov zmeny</w:t>
      </w:r>
      <w:r w:rsidR="000A65B0">
        <w:rPr>
          <w:rFonts w:cstheme="minorHAnsi"/>
        </w:rPr>
        <w:t xml:space="preserve"> </w:t>
      </w:r>
      <w:r w:rsidR="000A65B0" w:rsidRPr="001C6906">
        <w:rPr>
          <w:rFonts w:cstheme="minorHAnsi"/>
        </w:rPr>
        <w:t xml:space="preserve">klímy. Dĺžka a kvalita turistickej sezóny v rôznych odvetviach </w:t>
      </w:r>
      <w:r>
        <w:rPr>
          <w:rFonts w:cstheme="minorHAnsi"/>
        </w:rPr>
        <w:t>CR</w:t>
      </w:r>
      <w:r w:rsidR="000A65B0" w:rsidRPr="001C6906">
        <w:rPr>
          <w:rFonts w:cstheme="minorHAnsi"/>
        </w:rPr>
        <w:t xml:space="preserve"> je priamo</w:t>
      </w:r>
      <w:r w:rsidR="000A65B0">
        <w:rPr>
          <w:rFonts w:cstheme="minorHAnsi"/>
        </w:rPr>
        <w:t xml:space="preserve"> </w:t>
      </w:r>
      <w:r w:rsidR="000A65B0" w:rsidRPr="001C6906">
        <w:rPr>
          <w:rFonts w:cstheme="minorHAnsi"/>
        </w:rPr>
        <w:t>závislá od</w:t>
      </w:r>
      <w:r w:rsidR="000A65B0">
        <w:rPr>
          <w:rFonts w:cstheme="minorHAnsi"/>
        </w:rPr>
        <w:t xml:space="preserve"> (do určitej miery stabilných)</w:t>
      </w:r>
      <w:r w:rsidR="000A65B0" w:rsidRPr="001C6906">
        <w:rPr>
          <w:rFonts w:cstheme="minorHAnsi"/>
        </w:rPr>
        <w:t xml:space="preserve"> klimatických podmienok a má významné dôsledky pre konkurencieschopnosť v</w:t>
      </w:r>
      <w:r w:rsidR="000A65B0">
        <w:rPr>
          <w:rFonts w:cstheme="minorHAnsi"/>
        </w:rPr>
        <w:t> </w:t>
      </w:r>
      <w:r w:rsidR="000A65B0" w:rsidRPr="001C6906">
        <w:rPr>
          <w:rFonts w:cstheme="minorHAnsi"/>
        </w:rPr>
        <w:t>rámci</w:t>
      </w:r>
      <w:r w:rsidR="000A65B0">
        <w:rPr>
          <w:rFonts w:cstheme="minorHAnsi"/>
        </w:rPr>
        <w:t xml:space="preserve"> </w:t>
      </w:r>
      <w:r w:rsidR="000A65B0" w:rsidRPr="001C6906">
        <w:rPr>
          <w:rFonts w:cstheme="minorHAnsi"/>
        </w:rPr>
        <w:t>podobných destinácií</w:t>
      </w:r>
      <w:r w:rsidR="000A65B0">
        <w:rPr>
          <w:rFonts w:cstheme="minorHAnsi"/>
        </w:rPr>
        <w:t xml:space="preserve"> a v</w:t>
      </w:r>
      <w:r w:rsidR="000A65B0" w:rsidRPr="001C6906">
        <w:rPr>
          <w:rFonts w:cstheme="minorHAnsi"/>
        </w:rPr>
        <w:t>ýznamným spôsobom determinuje profitabilitu turistických subjektov.</w:t>
      </w:r>
      <w:r w:rsidR="000A65B0">
        <w:rPr>
          <w:rFonts w:cstheme="minorHAnsi"/>
        </w:rPr>
        <w:t xml:space="preserve"> </w:t>
      </w:r>
      <w:r w:rsidR="000A65B0" w:rsidRPr="001C6906">
        <w:rPr>
          <w:rFonts w:cstheme="minorHAnsi"/>
        </w:rPr>
        <w:t>Klíma ovplyvňuje rozsah turistických aktivít pre jednotlivé lokality, vplýva na prevádzkové ceny,</w:t>
      </w:r>
      <w:r w:rsidR="000A65B0">
        <w:rPr>
          <w:rFonts w:cstheme="minorHAnsi"/>
        </w:rPr>
        <w:t xml:space="preserve"> </w:t>
      </w:r>
      <w:r w:rsidR="000A65B0" w:rsidRPr="001C6906">
        <w:rPr>
          <w:rFonts w:cstheme="minorHAnsi"/>
        </w:rPr>
        <w:t>ako</w:t>
      </w:r>
      <w:r w:rsidR="000A65B0">
        <w:rPr>
          <w:rFonts w:cstheme="minorHAnsi"/>
        </w:rPr>
        <w:t xml:space="preserve"> </w:t>
      </w:r>
      <w:r w:rsidR="000A65B0" w:rsidRPr="001C6906">
        <w:rPr>
          <w:rFonts w:cstheme="minorHAnsi"/>
        </w:rPr>
        <w:t>napríklad vykurovanie, chladenie interiérov, výroba snehu, zavlažovanie, zásobovanie vodou,</w:t>
      </w:r>
      <w:r w:rsidR="000A65B0">
        <w:rPr>
          <w:rFonts w:cstheme="minorHAnsi"/>
        </w:rPr>
        <w:t xml:space="preserve"> </w:t>
      </w:r>
      <w:r w:rsidR="000A65B0" w:rsidRPr="001C6906">
        <w:rPr>
          <w:rFonts w:cstheme="minorHAnsi"/>
        </w:rPr>
        <w:t>potravinami či ceny poistenia. Z odborných hodnotení rôznych nadnárodných organizácií (napr.</w:t>
      </w:r>
      <w:r w:rsidR="000A65B0">
        <w:rPr>
          <w:rFonts w:cstheme="minorHAnsi"/>
        </w:rPr>
        <w:t xml:space="preserve"> </w:t>
      </w:r>
      <w:r w:rsidR="000A65B0" w:rsidRPr="001C6906">
        <w:rPr>
          <w:rFonts w:cstheme="minorHAnsi"/>
        </w:rPr>
        <w:t>UNWTO, European Commission Joint Research Centre – Institute for Prospective Technological</w:t>
      </w:r>
      <w:r w:rsidR="000A65B0">
        <w:rPr>
          <w:rFonts w:cstheme="minorHAnsi"/>
        </w:rPr>
        <w:t xml:space="preserve"> </w:t>
      </w:r>
      <w:r w:rsidR="000A65B0" w:rsidRPr="001C6906">
        <w:rPr>
          <w:rFonts w:cstheme="minorHAnsi"/>
        </w:rPr>
        <w:t>Studies, atď.) vyplýva, že zmena klímy bude mať významné vplyvy na fyzické zdroje podporujúce</w:t>
      </w:r>
      <w:r w:rsidR="000A65B0">
        <w:rPr>
          <w:rFonts w:cstheme="minorHAnsi"/>
        </w:rPr>
        <w:t xml:space="preserve"> </w:t>
      </w:r>
      <w:r w:rsidR="000A65B0" w:rsidRPr="001C6906">
        <w:rPr>
          <w:rFonts w:cstheme="minorHAnsi"/>
        </w:rPr>
        <w:t>cestovný ruch v Európe.</w:t>
      </w:r>
    </w:p>
    <w:p w14:paraId="1E1A90BC" w14:textId="00BB5B0B" w:rsidR="00BB2C7F" w:rsidRDefault="00DA67D3" w:rsidP="000A65B0">
      <w:pPr>
        <w:spacing w:line="276" w:lineRule="auto"/>
        <w:jc w:val="both"/>
        <w:rPr>
          <w:rFonts w:cstheme="minorHAnsi"/>
        </w:rPr>
      </w:pPr>
      <w:r>
        <w:rPr>
          <w:rFonts w:cstheme="minorHAnsi"/>
          <w:noProof/>
          <w:lang w:val="en-GB" w:eastAsia="en-GB"/>
        </w:rPr>
        <w:drawing>
          <wp:anchor distT="0" distB="0" distL="114300" distR="114300" simplePos="0" relativeHeight="251670528" behindDoc="1" locked="0" layoutInCell="1" allowOverlap="1" wp14:anchorId="74A37767" wp14:editId="72D22050">
            <wp:simplePos x="0" y="0"/>
            <wp:positionH relativeFrom="column">
              <wp:posOffset>2710180</wp:posOffset>
            </wp:positionH>
            <wp:positionV relativeFrom="paragraph">
              <wp:posOffset>34925</wp:posOffset>
            </wp:positionV>
            <wp:extent cx="3143689" cy="2391109"/>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20731D.tmp"/>
                    <pic:cNvPicPr/>
                  </pic:nvPicPr>
                  <pic:blipFill>
                    <a:blip r:embed="rId10">
                      <a:extLst>
                        <a:ext uri="{28A0092B-C50C-407E-A947-70E740481C1C}">
                          <a14:useLocalDpi xmlns:a14="http://schemas.microsoft.com/office/drawing/2010/main" val="0"/>
                        </a:ext>
                      </a:extLst>
                    </a:blip>
                    <a:stretch>
                      <a:fillRect/>
                    </a:stretch>
                  </pic:blipFill>
                  <pic:spPr>
                    <a:xfrm>
                      <a:off x="0" y="0"/>
                      <a:ext cx="3143689" cy="2391109"/>
                    </a:xfrm>
                    <a:prstGeom prst="rect">
                      <a:avLst/>
                    </a:prstGeom>
                  </pic:spPr>
                </pic:pic>
              </a:graphicData>
            </a:graphic>
          </wp:anchor>
        </w:drawing>
      </w:r>
      <w:r>
        <w:rPr>
          <w:rFonts w:cstheme="minorHAnsi"/>
          <w:noProof/>
          <w:lang w:val="en-GB" w:eastAsia="en-GB"/>
        </w:rPr>
        <w:drawing>
          <wp:inline distT="0" distB="0" distL="0" distR="0" wp14:anchorId="2C720B35" wp14:editId="5B24D356">
            <wp:extent cx="2857899" cy="259116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207189.tmp"/>
                    <pic:cNvPicPr/>
                  </pic:nvPicPr>
                  <pic:blipFill>
                    <a:blip r:embed="rId11">
                      <a:extLst>
                        <a:ext uri="{28A0092B-C50C-407E-A947-70E740481C1C}">
                          <a14:useLocalDpi xmlns:a14="http://schemas.microsoft.com/office/drawing/2010/main" val="0"/>
                        </a:ext>
                      </a:extLst>
                    </a:blip>
                    <a:stretch>
                      <a:fillRect/>
                    </a:stretch>
                  </pic:blipFill>
                  <pic:spPr>
                    <a:xfrm>
                      <a:off x="0" y="0"/>
                      <a:ext cx="2857899" cy="2591162"/>
                    </a:xfrm>
                    <a:prstGeom prst="rect">
                      <a:avLst/>
                    </a:prstGeom>
                  </pic:spPr>
                </pic:pic>
              </a:graphicData>
            </a:graphic>
          </wp:inline>
        </w:drawing>
      </w:r>
    </w:p>
    <w:p w14:paraId="09F9EEDA" w14:textId="77777777" w:rsidR="00DA67D3" w:rsidRDefault="00DA67D3" w:rsidP="000A65B0">
      <w:pPr>
        <w:spacing w:line="276" w:lineRule="auto"/>
        <w:jc w:val="both"/>
      </w:pPr>
    </w:p>
    <w:p w14:paraId="544CEA79" w14:textId="77777777" w:rsidR="00DA67D3" w:rsidRDefault="00DA67D3" w:rsidP="000A65B0">
      <w:pPr>
        <w:spacing w:line="276" w:lineRule="auto"/>
        <w:jc w:val="both"/>
      </w:pPr>
    </w:p>
    <w:p w14:paraId="25CC1686" w14:textId="77777777" w:rsidR="00DA67D3" w:rsidRDefault="00DA67D3" w:rsidP="000A65B0">
      <w:pPr>
        <w:spacing w:line="276" w:lineRule="auto"/>
        <w:jc w:val="both"/>
      </w:pPr>
    </w:p>
    <w:p w14:paraId="2188E21B" w14:textId="77777777" w:rsidR="00DA67D3" w:rsidRDefault="00DA67D3" w:rsidP="000A65B0">
      <w:pPr>
        <w:spacing w:line="276" w:lineRule="auto"/>
        <w:jc w:val="both"/>
      </w:pPr>
    </w:p>
    <w:p w14:paraId="1B56EDF8" w14:textId="77777777" w:rsidR="00DA67D3" w:rsidRDefault="00DA67D3" w:rsidP="000A65B0">
      <w:pPr>
        <w:spacing w:line="276" w:lineRule="auto"/>
        <w:jc w:val="both"/>
      </w:pPr>
    </w:p>
    <w:p w14:paraId="70F3F37F" w14:textId="77777777" w:rsidR="00DA67D3" w:rsidRDefault="00DA67D3" w:rsidP="000A65B0">
      <w:pPr>
        <w:spacing w:line="276" w:lineRule="auto"/>
        <w:jc w:val="both"/>
      </w:pPr>
    </w:p>
    <w:p w14:paraId="59D13603" w14:textId="77777777" w:rsidR="00DA67D3" w:rsidRDefault="00DA67D3" w:rsidP="000A65B0">
      <w:pPr>
        <w:spacing w:line="276" w:lineRule="auto"/>
        <w:jc w:val="both"/>
      </w:pPr>
    </w:p>
    <w:p w14:paraId="4A11FA10" w14:textId="77777777" w:rsidR="00DA67D3" w:rsidRDefault="00DA67D3" w:rsidP="000A65B0">
      <w:pPr>
        <w:spacing w:line="276" w:lineRule="auto"/>
        <w:jc w:val="both"/>
      </w:pPr>
    </w:p>
    <w:p w14:paraId="47556AA6" w14:textId="77777777" w:rsidR="000A65B0" w:rsidRPr="008B3579" w:rsidRDefault="000A65B0" w:rsidP="000A65B0">
      <w:pPr>
        <w:spacing w:line="276" w:lineRule="auto"/>
        <w:jc w:val="both"/>
      </w:pPr>
      <w:r w:rsidRPr="008B3579">
        <w:t xml:space="preserve">Značná časť turistických aktivít je založená na určitej stabilite klimatických podmienok a týmto podmienkam je prispôsobená infraštruktúra, marketing a lokálne socioekonomické aktivity. Dopady zmeny klímy na sektor </w:t>
      </w:r>
      <w:r>
        <w:t>cestovného ruchu</w:t>
      </w:r>
      <w:r w:rsidRPr="008B3579">
        <w:t xml:space="preserve"> preto môžeme kategorizovať v rámci štyroch hlavných kategórií: </w:t>
      </w:r>
    </w:p>
    <w:p w14:paraId="32E945A9" w14:textId="77777777" w:rsidR="000A65B0" w:rsidRPr="0038037D" w:rsidRDefault="000A65B0" w:rsidP="00E30BB1">
      <w:pPr>
        <w:pStyle w:val="Default"/>
        <w:numPr>
          <w:ilvl w:val="0"/>
          <w:numId w:val="3"/>
        </w:numPr>
        <w:spacing w:line="276" w:lineRule="auto"/>
        <w:jc w:val="both"/>
        <w:rPr>
          <w:rFonts w:asciiTheme="minorHAnsi" w:hAnsiTheme="minorHAnsi"/>
          <w:sz w:val="22"/>
          <w:szCs w:val="22"/>
        </w:rPr>
      </w:pPr>
      <w:r w:rsidRPr="0038037D">
        <w:rPr>
          <w:rFonts w:asciiTheme="minorHAnsi" w:hAnsiTheme="minorHAnsi"/>
          <w:sz w:val="22"/>
          <w:szCs w:val="22"/>
        </w:rPr>
        <w:t>Priame dôsledky zmeny klímy</w:t>
      </w:r>
    </w:p>
    <w:p w14:paraId="3A2238B1" w14:textId="06C919D5" w:rsidR="000A65B0" w:rsidRPr="0038037D" w:rsidRDefault="000A65B0" w:rsidP="00E30BB1">
      <w:pPr>
        <w:pStyle w:val="Default"/>
        <w:numPr>
          <w:ilvl w:val="0"/>
          <w:numId w:val="3"/>
        </w:numPr>
        <w:spacing w:line="276" w:lineRule="auto"/>
        <w:jc w:val="both"/>
        <w:rPr>
          <w:rFonts w:asciiTheme="minorHAnsi" w:hAnsiTheme="minorHAnsi"/>
          <w:sz w:val="22"/>
          <w:szCs w:val="22"/>
        </w:rPr>
      </w:pPr>
      <w:r w:rsidRPr="0038037D">
        <w:rPr>
          <w:rFonts w:asciiTheme="minorHAnsi" w:hAnsiTheme="minorHAnsi"/>
          <w:sz w:val="22"/>
          <w:szCs w:val="22"/>
        </w:rPr>
        <w:t xml:space="preserve">Nepriame dôsledky </w:t>
      </w:r>
      <w:r w:rsidR="00F21F4D">
        <w:rPr>
          <w:rFonts w:asciiTheme="minorHAnsi" w:hAnsiTheme="minorHAnsi"/>
          <w:sz w:val="22"/>
          <w:szCs w:val="22"/>
        </w:rPr>
        <w:t>zmeny klímy</w:t>
      </w:r>
    </w:p>
    <w:p w14:paraId="4DE59F0A" w14:textId="767A0A1E" w:rsidR="000A65B0" w:rsidRPr="0038037D" w:rsidRDefault="000A65B0" w:rsidP="00E30BB1">
      <w:pPr>
        <w:pStyle w:val="Default"/>
        <w:numPr>
          <w:ilvl w:val="0"/>
          <w:numId w:val="3"/>
        </w:numPr>
        <w:spacing w:line="276" w:lineRule="auto"/>
        <w:jc w:val="both"/>
        <w:rPr>
          <w:rFonts w:asciiTheme="minorHAnsi" w:hAnsiTheme="minorHAnsi"/>
          <w:sz w:val="22"/>
          <w:szCs w:val="22"/>
        </w:rPr>
      </w:pPr>
      <w:r w:rsidRPr="0038037D">
        <w:rPr>
          <w:rFonts w:asciiTheme="minorHAnsi" w:hAnsiTheme="minorHAnsi"/>
          <w:sz w:val="22"/>
          <w:szCs w:val="22"/>
        </w:rPr>
        <w:t>Dôsledky mitigačnej politiky na mobilitu</w:t>
      </w:r>
      <w:r>
        <w:rPr>
          <w:rFonts w:asciiTheme="minorHAnsi" w:hAnsiTheme="minorHAnsi"/>
          <w:sz w:val="22"/>
          <w:szCs w:val="22"/>
        </w:rPr>
        <w:t xml:space="preserve"> v </w:t>
      </w:r>
      <w:r w:rsidR="00C37E1B">
        <w:rPr>
          <w:rFonts w:asciiTheme="minorHAnsi" w:hAnsiTheme="minorHAnsi"/>
          <w:sz w:val="22"/>
          <w:szCs w:val="22"/>
        </w:rPr>
        <w:t>CR</w:t>
      </w:r>
    </w:p>
    <w:p w14:paraId="7D131A12" w14:textId="77777777" w:rsidR="000A65B0" w:rsidRPr="0038037D" w:rsidRDefault="000A65B0" w:rsidP="00E30BB1">
      <w:pPr>
        <w:pStyle w:val="Default"/>
        <w:numPr>
          <w:ilvl w:val="0"/>
          <w:numId w:val="3"/>
        </w:numPr>
        <w:spacing w:line="276" w:lineRule="auto"/>
        <w:jc w:val="both"/>
        <w:rPr>
          <w:rFonts w:asciiTheme="minorHAnsi" w:hAnsiTheme="minorHAnsi"/>
          <w:sz w:val="22"/>
          <w:szCs w:val="22"/>
        </w:rPr>
      </w:pPr>
      <w:r w:rsidRPr="0038037D">
        <w:rPr>
          <w:rFonts w:asciiTheme="minorHAnsi" w:hAnsiTheme="minorHAnsi"/>
          <w:sz w:val="22"/>
          <w:szCs w:val="22"/>
        </w:rPr>
        <w:t>Nepriame dôsledky na sociálne zmeny</w:t>
      </w:r>
    </w:p>
    <w:p w14:paraId="66EE8AE2" w14:textId="6852E195" w:rsidR="002039FF" w:rsidRDefault="002039FF" w:rsidP="0038174C">
      <w:pPr>
        <w:spacing w:line="276" w:lineRule="auto"/>
      </w:pPr>
    </w:p>
    <w:p w14:paraId="2BEAF99D" w14:textId="77777777" w:rsidR="000E2C40" w:rsidRDefault="000E2C40" w:rsidP="0038174C">
      <w:pPr>
        <w:spacing w:line="276" w:lineRule="auto"/>
      </w:pPr>
      <w:r>
        <w:t xml:space="preserve">There are four broad categories of climate change impacts that could affect tourism destinations, their competitiveness and sustainability, three of which will be covered in this Chapter. </w:t>
      </w:r>
    </w:p>
    <w:p w14:paraId="19F4E42E" w14:textId="77777777" w:rsidR="000E2C40" w:rsidRDefault="000E2C40" w:rsidP="0038174C">
      <w:pPr>
        <w:spacing w:line="276" w:lineRule="auto"/>
      </w:pPr>
      <w:r>
        <w:t xml:space="preserve">• Direct climatic impacts – including geographic and seasonal redistribution of climate resources for tourism, and changes in operating costs (heating-cooling degree days, insurance premiums). </w:t>
      </w:r>
    </w:p>
    <w:p w14:paraId="23ECF8A5" w14:textId="77777777" w:rsidR="000E2C40" w:rsidRDefault="000E2C40" w:rsidP="0038174C">
      <w:pPr>
        <w:spacing w:line="276" w:lineRule="auto"/>
      </w:pPr>
      <w:r>
        <w:t xml:space="preserve">• Indirect environmental change impacts – including climate induced-environmental changes such as water shortages, biodiversity loss, decline of landscape aesthetic, increase in vector-borne disease, damage to infrastructure. </w:t>
      </w:r>
    </w:p>
    <w:p w14:paraId="399682AD" w14:textId="77777777" w:rsidR="000E2C40" w:rsidRDefault="000E2C40" w:rsidP="0038174C">
      <w:pPr>
        <w:spacing w:line="276" w:lineRule="auto"/>
      </w:pPr>
      <w:r>
        <w:t>• Impacts of mitigation policies on tourist mobility – including changes in tourist flow due to increased prices; alterations to aviation routes; changes in the proportions of short-haul and longhaul flights. This aspect will be discussed in detail in Chapters 10 and 12.</w:t>
      </w:r>
    </w:p>
    <w:p w14:paraId="73BC5367" w14:textId="5E200255" w:rsidR="002039FF" w:rsidRDefault="000E2C40" w:rsidP="0038174C">
      <w:pPr>
        <w:spacing w:line="276" w:lineRule="auto"/>
      </w:pPr>
      <w:r>
        <w:t>• Indirect societal change impacts – including the consequences of the broader impacts of climate change on societies, such as changes in economic growth, development patterns, social-political stability and personal safety in some regions. These will have ‘knock-on’ effects on operations, employment and security issues in tourism and related sectors.</w:t>
      </w:r>
    </w:p>
    <w:p w14:paraId="02F199AF" w14:textId="09A18247" w:rsidR="002039FF" w:rsidRDefault="002039FF" w:rsidP="0038174C">
      <w:pPr>
        <w:spacing w:line="276" w:lineRule="auto"/>
      </w:pPr>
    </w:p>
    <w:p w14:paraId="140F9E03" w14:textId="362D96BF" w:rsidR="002039FF" w:rsidRDefault="002039FF" w:rsidP="0038174C">
      <w:pPr>
        <w:spacing w:line="276" w:lineRule="auto"/>
      </w:pPr>
    </w:p>
    <w:p w14:paraId="2E2342A1" w14:textId="19BFE62B" w:rsidR="002039FF" w:rsidRDefault="002039FF" w:rsidP="0038174C">
      <w:pPr>
        <w:spacing w:line="276" w:lineRule="auto"/>
      </w:pPr>
    </w:p>
    <w:p w14:paraId="3D00F8C0" w14:textId="3274D12A" w:rsidR="006D0FF0" w:rsidRDefault="004F3D54" w:rsidP="00E30BB1">
      <w:pPr>
        <w:pStyle w:val="Nadpis1"/>
        <w:numPr>
          <w:ilvl w:val="0"/>
          <w:numId w:val="1"/>
        </w:numPr>
        <w:spacing w:line="276" w:lineRule="auto"/>
      </w:pPr>
      <w:bookmarkStart w:id="2" w:name="_Toc509383570"/>
      <w:r>
        <w:t>Aplikovaná metodika</w:t>
      </w:r>
      <w:bookmarkEnd w:id="2"/>
      <w:r>
        <w:t xml:space="preserve"> </w:t>
      </w:r>
    </w:p>
    <w:p w14:paraId="2FB36AEB" w14:textId="005B4442" w:rsidR="002039FF" w:rsidRDefault="00F148C6" w:rsidP="00E30BB1">
      <w:pPr>
        <w:pStyle w:val="Nadpis1"/>
        <w:numPr>
          <w:ilvl w:val="0"/>
          <w:numId w:val="1"/>
        </w:numPr>
        <w:spacing w:line="276" w:lineRule="auto"/>
      </w:pPr>
      <w:bookmarkStart w:id="3" w:name="_Toc509383571"/>
      <w:r>
        <w:t>Vymedzenie</w:t>
      </w:r>
      <w:r w:rsidR="002039FF">
        <w:t xml:space="preserve"> cieľového územia</w:t>
      </w:r>
      <w:r w:rsidR="003E06A1">
        <w:t xml:space="preserve"> </w:t>
      </w:r>
      <w:r>
        <w:t xml:space="preserve">NP </w:t>
      </w:r>
      <w:r w:rsidR="003E06A1">
        <w:t>Slovenský raj</w:t>
      </w:r>
      <w:r>
        <w:t xml:space="preserve"> a priľahlého územia</w:t>
      </w:r>
      <w:bookmarkEnd w:id="3"/>
    </w:p>
    <w:p w14:paraId="2844BBF2" w14:textId="27C06D21" w:rsidR="002039FF" w:rsidRDefault="002039FF" w:rsidP="0038174C">
      <w:pPr>
        <w:spacing w:line="276" w:lineRule="auto"/>
      </w:pPr>
    </w:p>
    <w:p w14:paraId="028EB122" w14:textId="48565412" w:rsidR="001A49BC" w:rsidRPr="009558C9" w:rsidRDefault="007D25D5" w:rsidP="0038174C">
      <w:pPr>
        <w:spacing w:line="276" w:lineRule="auto"/>
        <w:jc w:val="both"/>
        <w:rPr>
          <w:rFonts w:cstheme="minorHAnsi"/>
        </w:rPr>
      </w:pPr>
      <w:r>
        <w:lastRenderedPageBreak/>
        <w:t xml:space="preserve">Cieľové územie projektu je totožné s hranicami Národného parku Slovenský </w:t>
      </w:r>
      <w:r w:rsidR="00BC0910">
        <w:t>r</w:t>
      </w:r>
      <w:r>
        <w:t>aj a jeho ochranného pásma.</w:t>
      </w:r>
      <w:r w:rsidR="009558C9">
        <w:t xml:space="preserve"> </w:t>
      </w:r>
      <w:r w:rsidR="004A1E02">
        <w:t xml:space="preserve"> </w:t>
      </w:r>
      <w:r w:rsidR="004A1E02" w:rsidRPr="005D5ED7">
        <w:rPr>
          <w:rFonts w:cstheme="minorHAnsi"/>
        </w:rPr>
        <w:t>Územie samotného národného parku má rozlohu 197,63 km</w:t>
      </w:r>
      <w:r w:rsidR="004A1E02" w:rsidRPr="005D5ED7">
        <w:rPr>
          <w:rFonts w:cstheme="minorHAnsi"/>
          <w:vertAlign w:val="superscript"/>
        </w:rPr>
        <w:t>2</w:t>
      </w:r>
      <w:r w:rsidR="004A1E02" w:rsidRPr="005D5ED7">
        <w:rPr>
          <w:rFonts w:cstheme="minorHAnsi"/>
        </w:rPr>
        <w:t xml:space="preserve"> a ochranné pásmo k tomu 130,11 km</w:t>
      </w:r>
      <w:r w:rsidR="004A1E02" w:rsidRPr="005D5ED7">
        <w:rPr>
          <w:rFonts w:cstheme="minorHAnsi"/>
          <w:vertAlign w:val="superscript"/>
        </w:rPr>
        <w:t>2</w:t>
      </w:r>
      <w:r w:rsidR="004A1E02" w:rsidRPr="005D5ED7">
        <w:rPr>
          <w:rFonts w:cstheme="minorHAnsi"/>
        </w:rPr>
        <w:t>.</w:t>
      </w:r>
      <w:r w:rsidR="004A0B9B">
        <w:t xml:space="preserve"> </w:t>
      </w:r>
      <w:r w:rsidR="008B514C" w:rsidRPr="00B019DB">
        <w:t>Slovensk</w:t>
      </w:r>
      <w:r w:rsidR="004A0B9B">
        <w:t>ý</w:t>
      </w:r>
      <w:r w:rsidR="008B514C" w:rsidRPr="00B019DB">
        <w:t xml:space="preserve"> raj sa nachádza vo východnej časti Slovenska, z prevažnej väčšiny v severozápadnej časti Košického kraja</w:t>
      </w:r>
      <w:r w:rsidR="004A0B9B">
        <w:t>,</w:t>
      </w:r>
      <w:r w:rsidR="008B514C" w:rsidRPr="00B019DB">
        <w:t xml:space="preserve"> </w:t>
      </w:r>
      <w:r w:rsidR="008B514C" w:rsidRPr="00B019DB">
        <w:rPr>
          <w:rFonts w:cs="MDDKIG+TimesNewRoman"/>
          <w:color w:val="000000"/>
        </w:rPr>
        <w:t xml:space="preserve">v severovýchodnej </w:t>
      </w:r>
      <w:r w:rsidR="008B514C" w:rsidRPr="00B019DB">
        <w:rPr>
          <w:rFonts w:cs="Times New Roman"/>
          <w:color w:val="000000"/>
        </w:rPr>
        <w:t>č</w:t>
      </w:r>
      <w:r w:rsidR="008B514C" w:rsidRPr="00B019DB">
        <w:rPr>
          <w:rFonts w:cs="MDDKIG+TimesNewRoman"/>
          <w:color w:val="000000"/>
        </w:rPr>
        <w:t>asti Slovenského rudohoria. Orograficky patrí do provincie Západných Karpát, subprovincie vnútorných Západných Karpát, do oblasti Slovenského rudohoria, do celku Stratenská hornatina a do podcelku Slovenský raj. Na severe hrani</w:t>
      </w:r>
      <w:r w:rsidR="008B514C" w:rsidRPr="00B019DB">
        <w:rPr>
          <w:rFonts w:cs="Times New Roman"/>
          <w:color w:val="000000"/>
        </w:rPr>
        <w:t>č</w:t>
      </w:r>
      <w:r w:rsidR="008B514C" w:rsidRPr="00B019DB">
        <w:rPr>
          <w:rFonts w:cs="MDDKIG+TimesNewRoman"/>
          <w:color w:val="000000"/>
        </w:rPr>
        <w:t>í s Hornádskou kotlinou, na západe s Nízkymi Tatrami. Nadmorská výška územia sa pohybuje od 500 m n. m. (Hornádska kotlina) na severe, po 1 270 m n. m.</w:t>
      </w:r>
      <w:r w:rsidR="008B514C">
        <w:rPr>
          <w:rFonts w:cs="MDDKIG+TimesNewRoman"/>
          <w:color w:val="000000"/>
        </w:rPr>
        <w:t xml:space="preserve"> </w:t>
      </w:r>
      <w:r w:rsidR="008B514C" w:rsidRPr="00B019DB">
        <w:rPr>
          <w:rFonts w:cs="MDDKIG+TimesNewRoman"/>
          <w:color w:val="000000"/>
        </w:rPr>
        <w:t>(Ondrejisko) na juhu a 1 545 m n. m. (Predná ho</w:t>
      </w:r>
      <w:r w:rsidR="008B514C" w:rsidRPr="00B019DB">
        <w:rPr>
          <w:rFonts w:cs="Times New Roman"/>
          <w:color w:val="000000"/>
        </w:rPr>
        <w:t>ľ</w:t>
      </w:r>
      <w:r w:rsidR="008B514C" w:rsidRPr="00B019DB">
        <w:rPr>
          <w:rFonts w:cs="MDDKIG+TimesNewRoman"/>
          <w:color w:val="000000"/>
        </w:rPr>
        <w:t>a) na západe územia</w:t>
      </w:r>
      <w:r w:rsidR="008B514C" w:rsidRPr="00700801">
        <w:rPr>
          <w:rFonts w:cstheme="minorHAnsi"/>
        </w:rPr>
        <w:t xml:space="preserve">. </w:t>
      </w:r>
      <w:r w:rsidR="008B514C" w:rsidRPr="00700801">
        <w:rPr>
          <w:rFonts w:cstheme="minorHAnsi"/>
          <w:shd w:val="clear" w:color="auto" w:fill="FFFFFF"/>
        </w:rPr>
        <w:t>Pretekajú ním rieky </w:t>
      </w:r>
      <w:hyperlink r:id="rId12" w:tooltip="Hornád" w:history="1">
        <w:r w:rsidR="008B514C" w:rsidRPr="00700801">
          <w:rPr>
            <w:rStyle w:val="Hypertextovprepojenie"/>
            <w:rFonts w:cstheme="minorHAnsi"/>
            <w:color w:val="auto"/>
            <w:u w:val="none"/>
            <w:shd w:val="clear" w:color="auto" w:fill="FFFFFF"/>
          </w:rPr>
          <w:t>Hornád</w:t>
        </w:r>
      </w:hyperlink>
      <w:r w:rsidR="008B514C" w:rsidRPr="00700801">
        <w:rPr>
          <w:rFonts w:cstheme="minorHAnsi"/>
          <w:shd w:val="clear" w:color="auto" w:fill="FFFFFF"/>
        </w:rPr>
        <w:t> a </w:t>
      </w:r>
      <w:hyperlink r:id="rId13" w:tooltip="Hnilec (rieka)" w:history="1">
        <w:r w:rsidR="008B514C" w:rsidRPr="00700801">
          <w:rPr>
            <w:rStyle w:val="Hypertextovprepojenie"/>
            <w:rFonts w:cstheme="minorHAnsi"/>
            <w:color w:val="auto"/>
            <w:u w:val="none"/>
            <w:shd w:val="clear" w:color="auto" w:fill="FFFFFF"/>
          </w:rPr>
          <w:t>Hnilec</w:t>
        </w:r>
      </w:hyperlink>
      <w:r w:rsidR="008B514C" w:rsidRPr="00700801">
        <w:rPr>
          <w:rFonts w:cstheme="minorHAnsi"/>
          <w:shd w:val="clear" w:color="auto" w:fill="FFFFFF"/>
        </w:rPr>
        <w:t>. Lesy pokrývajú až 90% územia parku, ide najmä o jedľovo-bukové lesy, dealpínske lesy</w:t>
      </w:r>
      <w:r w:rsidR="00F148C6">
        <w:rPr>
          <w:rFonts w:cstheme="minorHAnsi"/>
          <w:shd w:val="clear" w:color="auto" w:fill="FFFFFF"/>
        </w:rPr>
        <w:t>,</w:t>
      </w:r>
      <w:r w:rsidR="008B514C" w:rsidRPr="00700801">
        <w:rPr>
          <w:rFonts w:cstheme="minorHAnsi"/>
          <w:shd w:val="clear" w:color="auto" w:fill="FFFFFF"/>
        </w:rPr>
        <w:t xml:space="preserve"> ale aj zmiešané lesy.</w:t>
      </w:r>
      <w:r w:rsidR="000F1A7D">
        <w:rPr>
          <w:rFonts w:cstheme="minorHAnsi"/>
          <w:shd w:val="clear" w:color="auto" w:fill="FFFFFF"/>
        </w:rPr>
        <w:t xml:space="preserve"> </w:t>
      </w:r>
      <w:r w:rsidR="008B514C" w:rsidRPr="00700801">
        <w:rPr>
          <w:rFonts w:cstheme="minorHAnsi"/>
          <w:shd w:val="clear" w:color="auto" w:fill="FFFFFF"/>
        </w:rPr>
        <w:t>Je charakteristický členitým terénom – roklinami, potokmi s vodopádmi a </w:t>
      </w:r>
      <w:hyperlink r:id="rId14" w:tooltip="Kras" w:history="1">
        <w:r w:rsidR="008B514C" w:rsidRPr="00700801">
          <w:rPr>
            <w:rStyle w:val="Hypertextovprepojenie"/>
            <w:rFonts w:cstheme="minorHAnsi"/>
            <w:color w:val="auto"/>
            <w:u w:val="none"/>
            <w:shd w:val="clear" w:color="auto" w:fill="FFFFFF"/>
          </w:rPr>
          <w:t>krasovými</w:t>
        </w:r>
      </w:hyperlink>
      <w:r w:rsidR="008B514C" w:rsidRPr="00700801">
        <w:rPr>
          <w:rFonts w:cstheme="minorHAnsi"/>
          <w:shd w:val="clear" w:color="auto" w:fill="FFFFFF"/>
        </w:rPr>
        <w:t> formami, ktoré sú pre turistov sprístupnené formou chodníkov, v náročnejších častiach aj technickými pomôckami</w:t>
      </w:r>
      <w:r w:rsidR="008B514C">
        <w:rPr>
          <w:rFonts w:cstheme="minorHAnsi"/>
          <w:shd w:val="clear" w:color="auto" w:fill="FFFFFF"/>
        </w:rPr>
        <w:t>.</w:t>
      </w:r>
    </w:p>
    <w:p w14:paraId="76D64B06" w14:textId="4CEC3636" w:rsidR="00DD3090" w:rsidRDefault="00DD3090" w:rsidP="0038174C">
      <w:pPr>
        <w:spacing w:after="0" w:line="276" w:lineRule="auto"/>
        <w:jc w:val="both"/>
        <w:rPr>
          <w:rFonts w:cstheme="minorHAnsi"/>
          <w:szCs w:val="24"/>
        </w:rPr>
      </w:pPr>
    </w:p>
    <w:p w14:paraId="39071CFC" w14:textId="77777777" w:rsidR="002F1C5A" w:rsidRDefault="00121EE1" w:rsidP="0038174C">
      <w:pPr>
        <w:keepNext/>
        <w:spacing w:after="0" w:line="276" w:lineRule="auto"/>
        <w:jc w:val="both"/>
      </w:pPr>
      <w:r w:rsidRPr="00121EE1">
        <w:rPr>
          <w:rFonts w:cstheme="minorHAnsi"/>
          <w:noProof/>
          <w:szCs w:val="24"/>
          <w:lang w:val="en-GB" w:eastAsia="en-GB"/>
        </w:rPr>
        <w:drawing>
          <wp:inline distT="0" distB="0" distL="0" distR="0" wp14:anchorId="3B04E731" wp14:editId="6D3B1707">
            <wp:extent cx="4266733" cy="5943271"/>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00" t="-3777" r="-4582" b="1704"/>
                    <a:stretch/>
                  </pic:blipFill>
                  <pic:spPr bwMode="auto">
                    <a:xfrm rot="5400000">
                      <a:off x="0" y="0"/>
                      <a:ext cx="4303328" cy="5994246"/>
                    </a:xfrm>
                    <a:prstGeom prst="rect">
                      <a:avLst/>
                    </a:prstGeom>
                    <a:noFill/>
                    <a:ln>
                      <a:noFill/>
                    </a:ln>
                    <a:extLst>
                      <a:ext uri="{53640926-AAD7-44D8-BBD7-CCE9431645EC}">
                        <a14:shadowObscured xmlns:a14="http://schemas.microsoft.com/office/drawing/2010/main"/>
                      </a:ext>
                    </a:extLst>
                  </pic:spPr>
                </pic:pic>
              </a:graphicData>
            </a:graphic>
          </wp:inline>
        </w:drawing>
      </w:r>
    </w:p>
    <w:p w14:paraId="0F6F131A" w14:textId="37BEDFC2" w:rsidR="001A49BC" w:rsidRPr="00480F2C" w:rsidRDefault="002F1C5A" w:rsidP="00480F2C">
      <w:pPr>
        <w:pStyle w:val="Popis"/>
        <w:spacing w:line="276" w:lineRule="auto"/>
        <w:jc w:val="both"/>
        <w:rPr>
          <w:rFonts w:cstheme="minorHAnsi"/>
          <w:b/>
          <w:i w:val="0"/>
          <w:color w:val="auto"/>
          <w:szCs w:val="24"/>
        </w:rPr>
      </w:pPr>
      <w:r w:rsidRPr="00F45B76">
        <w:rPr>
          <w:b/>
          <w:i w:val="0"/>
          <w:color w:val="auto"/>
        </w:rPr>
        <w:t xml:space="preserve">Obrázok </w:t>
      </w:r>
      <w:r w:rsidRPr="00F45B76">
        <w:rPr>
          <w:b/>
          <w:i w:val="0"/>
          <w:color w:val="auto"/>
        </w:rPr>
        <w:fldChar w:fldCharType="begin"/>
      </w:r>
      <w:r w:rsidRPr="00F45B76">
        <w:rPr>
          <w:b/>
          <w:i w:val="0"/>
          <w:color w:val="auto"/>
        </w:rPr>
        <w:instrText xml:space="preserve"> SEQ Obrázok \* ARABIC </w:instrText>
      </w:r>
      <w:r w:rsidRPr="00F45B76">
        <w:rPr>
          <w:b/>
          <w:i w:val="0"/>
          <w:color w:val="auto"/>
        </w:rPr>
        <w:fldChar w:fldCharType="separate"/>
      </w:r>
      <w:r w:rsidR="006F524D">
        <w:rPr>
          <w:b/>
          <w:i w:val="0"/>
          <w:noProof/>
          <w:color w:val="auto"/>
        </w:rPr>
        <w:t>1</w:t>
      </w:r>
      <w:r w:rsidRPr="00F45B76">
        <w:rPr>
          <w:b/>
          <w:i w:val="0"/>
          <w:color w:val="auto"/>
        </w:rPr>
        <w:fldChar w:fldCharType="end"/>
      </w:r>
      <w:r w:rsidRPr="00F45B76">
        <w:rPr>
          <w:b/>
          <w:i w:val="0"/>
          <w:color w:val="auto"/>
        </w:rPr>
        <w:t>. NP Slovenský raj a jeho ochranné pásmo. Zdroj: Návštevn</w:t>
      </w:r>
      <w:r w:rsidR="00D750AD" w:rsidRPr="00F45B76">
        <w:rPr>
          <w:b/>
          <w:i w:val="0"/>
          <w:color w:val="auto"/>
        </w:rPr>
        <w:t>ý</w:t>
      </w:r>
      <w:r w:rsidRPr="00F45B76">
        <w:rPr>
          <w:b/>
          <w:i w:val="0"/>
          <w:color w:val="auto"/>
        </w:rPr>
        <w:t xml:space="preserve"> poriad</w:t>
      </w:r>
      <w:r w:rsidR="00D750AD" w:rsidRPr="00F45B76">
        <w:rPr>
          <w:b/>
          <w:i w:val="0"/>
          <w:color w:val="auto"/>
        </w:rPr>
        <w:t>ok</w:t>
      </w:r>
      <w:r w:rsidRPr="00F45B76">
        <w:rPr>
          <w:b/>
          <w:i w:val="0"/>
          <w:color w:val="auto"/>
        </w:rPr>
        <w:t xml:space="preserve"> Národného parku Slovenský raj a jeho ochranného pásma</w:t>
      </w:r>
      <w:r w:rsidR="00D750AD" w:rsidRPr="00F45B76">
        <w:rPr>
          <w:b/>
          <w:i w:val="0"/>
          <w:color w:val="auto"/>
        </w:rPr>
        <w:t>, 2018.</w:t>
      </w:r>
    </w:p>
    <w:p w14:paraId="426B94AE" w14:textId="7A5DE305" w:rsidR="007606F2" w:rsidRPr="00415C60" w:rsidRDefault="007606F2" w:rsidP="0038174C">
      <w:pPr>
        <w:spacing w:line="276" w:lineRule="auto"/>
      </w:pPr>
    </w:p>
    <w:p w14:paraId="62522DF1" w14:textId="55E93E63" w:rsidR="009558C9" w:rsidRPr="001A49BC" w:rsidRDefault="00DD477A" w:rsidP="0038174C">
      <w:pPr>
        <w:spacing w:line="276" w:lineRule="auto"/>
        <w:jc w:val="both"/>
        <w:rPr>
          <w:rFonts w:cstheme="minorHAnsi"/>
        </w:rPr>
      </w:pPr>
      <w:r w:rsidRPr="00415C60">
        <w:t>V území NP Slovenský raj a v jeho ochrannom pásme sa rozprestiera, resp. do jeho územia</w:t>
      </w:r>
      <w:r>
        <w:t xml:space="preserve"> </w:t>
      </w:r>
      <w:r w:rsidR="009558C9">
        <w:t xml:space="preserve">zasahujú katastrálne územia 18 obcí, ktoré sú súčasťou štyroch okresov (Rožňava, Spišská Nová Ves, Poprad a Brezno) a troch samosprávnych krajov. </w:t>
      </w:r>
      <w:r w:rsidR="009558C9" w:rsidRPr="00AF1BAD">
        <w:rPr>
          <w:rFonts w:ascii="Calibri" w:hAnsi="Calibri" w:cs="Arial"/>
        </w:rPr>
        <w:t xml:space="preserve">Najväčšia časť územia Slovenského </w:t>
      </w:r>
      <w:r w:rsidR="009558C9">
        <w:rPr>
          <w:rFonts w:ascii="Calibri" w:hAnsi="Calibri" w:cs="Arial"/>
        </w:rPr>
        <w:t>r</w:t>
      </w:r>
      <w:r w:rsidR="009558C9" w:rsidRPr="00AF1BAD">
        <w:rPr>
          <w:rFonts w:ascii="Calibri" w:hAnsi="Calibri" w:cs="Arial"/>
        </w:rPr>
        <w:t>aja sa nachádza v </w:t>
      </w:r>
      <w:r w:rsidR="009558C9">
        <w:rPr>
          <w:rFonts w:ascii="Calibri" w:hAnsi="Calibri" w:cs="Arial"/>
        </w:rPr>
        <w:t>K</w:t>
      </w:r>
      <w:r w:rsidR="009558C9" w:rsidRPr="00AF1BAD">
        <w:rPr>
          <w:rFonts w:ascii="Calibri" w:hAnsi="Calibri" w:cs="Arial"/>
        </w:rPr>
        <w:t xml:space="preserve">ošickom </w:t>
      </w:r>
      <w:r w:rsidR="009558C9">
        <w:rPr>
          <w:rFonts w:ascii="Calibri" w:hAnsi="Calibri" w:cs="Arial"/>
        </w:rPr>
        <w:t xml:space="preserve">samosprávnom </w:t>
      </w:r>
      <w:r w:rsidR="009558C9" w:rsidRPr="00AF1BAD">
        <w:rPr>
          <w:rFonts w:ascii="Calibri" w:hAnsi="Calibri" w:cs="Arial"/>
        </w:rPr>
        <w:t>kraji</w:t>
      </w:r>
      <w:r w:rsidR="009558C9">
        <w:rPr>
          <w:rFonts w:ascii="Calibri" w:hAnsi="Calibri" w:cs="Arial"/>
        </w:rPr>
        <w:t>,</w:t>
      </w:r>
      <w:r w:rsidR="009558C9" w:rsidRPr="00AF1BAD">
        <w:rPr>
          <w:rFonts w:ascii="Calibri" w:hAnsi="Calibri" w:cs="Arial"/>
        </w:rPr>
        <w:t xml:space="preserve"> </w:t>
      </w:r>
      <w:r w:rsidR="009558C9" w:rsidRPr="00BC0910">
        <w:rPr>
          <w:rFonts w:ascii="Calibri" w:hAnsi="Calibri" w:cs="Arial"/>
        </w:rPr>
        <w:t>v okresoch Spišská Nová Ves a</w:t>
      </w:r>
      <w:r w:rsidR="009558C9">
        <w:rPr>
          <w:rFonts w:ascii="Calibri" w:hAnsi="Calibri" w:cs="Arial"/>
        </w:rPr>
        <w:t> </w:t>
      </w:r>
      <w:r w:rsidR="009558C9" w:rsidRPr="00BC0910">
        <w:rPr>
          <w:rFonts w:ascii="Calibri" w:hAnsi="Calibri" w:cs="Arial"/>
        </w:rPr>
        <w:t>Rožňava</w:t>
      </w:r>
      <w:r w:rsidR="009558C9">
        <w:rPr>
          <w:rFonts w:ascii="Calibri" w:hAnsi="Calibri" w:cs="Arial"/>
        </w:rPr>
        <w:t xml:space="preserve">. </w:t>
      </w:r>
      <w:r w:rsidR="009558C9">
        <w:rPr>
          <w:rFonts w:cstheme="minorHAnsi"/>
        </w:rPr>
        <w:t>C</w:t>
      </w:r>
      <w:r w:rsidR="009558C9" w:rsidRPr="005D5ED7">
        <w:rPr>
          <w:rFonts w:cstheme="minorHAnsi"/>
        </w:rPr>
        <w:t>elý kataster obc</w:t>
      </w:r>
      <w:r w:rsidR="009558C9">
        <w:rPr>
          <w:rFonts w:cstheme="minorHAnsi"/>
        </w:rPr>
        <w:t>í</w:t>
      </w:r>
      <w:r w:rsidR="009558C9" w:rsidRPr="005D5ED7">
        <w:rPr>
          <w:rFonts w:cstheme="minorHAnsi"/>
        </w:rPr>
        <w:t xml:space="preserve"> Stratená </w:t>
      </w:r>
      <w:r w:rsidR="009558C9">
        <w:rPr>
          <w:rFonts w:cstheme="minorHAnsi"/>
        </w:rPr>
        <w:t xml:space="preserve">a Dedinky </w:t>
      </w:r>
      <w:r w:rsidR="009558C9" w:rsidRPr="005D5ED7">
        <w:rPr>
          <w:rFonts w:cstheme="minorHAnsi"/>
        </w:rPr>
        <w:t>sa nachádza</w:t>
      </w:r>
      <w:r w:rsidR="009558C9">
        <w:rPr>
          <w:rFonts w:cstheme="minorHAnsi"/>
        </w:rPr>
        <w:t>jú buď</w:t>
      </w:r>
      <w:r w:rsidR="009558C9" w:rsidRPr="005D5ED7">
        <w:rPr>
          <w:rFonts w:cstheme="minorHAnsi"/>
        </w:rPr>
        <w:t xml:space="preserve"> na území</w:t>
      </w:r>
      <w:r w:rsidR="009558C9">
        <w:rPr>
          <w:rFonts w:cstheme="minorHAnsi"/>
        </w:rPr>
        <w:t xml:space="preserve"> samotného</w:t>
      </w:r>
      <w:r w:rsidR="009558C9" w:rsidRPr="005D5ED7">
        <w:rPr>
          <w:rFonts w:cstheme="minorHAnsi"/>
        </w:rPr>
        <w:t xml:space="preserve"> národného parku </w:t>
      </w:r>
      <w:r w:rsidR="009558C9">
        <w:rPr>
          <w:rFonts w:cstheme="minorHAnsi"/>
        </w:rPr>
        <w:t>alebo aj v jeho </w:t>
      </w:r>
      <w:r w:rsidR="009558C9" w:rsidRPr="005D5ED7">
        <w:rPr>
          <w:rFonts w:cstheme="minorHAnsi"/>
        </w:rPr>
        <w:t>ochrann</w:t>
      </w:r>
      <w:r w:rsidR="009558C9">
        <w:rPr>
          <w:rFonts w:cstheme="minorHAnsi"/>
        </w:rPr>
        <w:t xml:space="preserve">om </w:t>
      </w:r>
      <w:r w:rsidR="009558C9" w:rsidRPr="005D5ED7">
        <w:rPr>
          <w:rFonts w:cstheme="minorHAnsi"/>
        </w:rPr>
        <w:t>pásm</w:t>
      </w:r>
      <w:r w:rsidR="009558C9">
        <w:rPr>
          <w:rFonts w:cstheme="minorHAnsi"/>
        </w:rPr>
        <w:t>e</w:t>
      </w:r>
      <w:r w:rsidR="009558C9" w:rsidRPr="005D5ED7">
        <w:rPr>
          <w:rFonts w:cstheme="minorHAnsi"/>
        </w:rPr>
        <w:t>.</w:t>
      </w:r>
    </w:p>
    <w:p w14:paraId="05B972DC" w14:textId="77777777" w:rsidR="009558C9" w:rsidRPr="00DD3090" w:rsidRDefault="009558C9" w:rsidP="0038174C">
      <w:pPr>
        <w:spacing w:after="0" w:line="276" w:lineRule="auto"/>
        <w:jc w:val="both"/>
        <w:rPr>
          <w:rFonts w:cstheme="minorHAnsi"/>
          <w:szCs w:val="24"/>
          <w:u w:val="single"/>
        </w:rPr>
      </w:pPr>
      <w:r w:rsidRPr="00DD3090">
        <w:rPr>
          <w:rFonts w:cstheme="minorHAnsi"/>
          <w:szCs w:val="24"/>
          <w:u w:val="single"/>
        </w:rPr>
        <w:lastRenderedPageBreak/>
        <w:t>Košický samosprávny kraj</w:t>
      </w:r>
    </w:p>
    <w:p w14:paraId="36782283" w14:textId="77777777" w:rsidR="009558C9" w:rsidRPr="00DD3090" w:rsidRDefault="009558C9" w:rsidP="0038174C">
      <w:pPr>
        <w:spacing w:after="0" w:line="276" w:lineRule="auto"/>
        <w:jc w:val="both"/>
        <w:rPr>
          <w:rFonts w:cstheme="minorHAnsi"/>
          <w:szCs w:val="24"/>
        </w:rPr>
      </w:pPr>
      <w:r w:rsidRPr="00DD3090">
        <w:rPr>
          <w:rFonts w:cstheme="minorHAnsi"/>
          <w:b/>
          <w:szCs w:val="24"/>
        </w:rPr>
        <w:t xml:space="preserve">Okres Spišská Nová Ves </w:t>
      </w:r>
      <w:r w:rsidRPr="00DD3090">
        <w:rPr>
          <w:rFonts w:cstheme="minorHAnsi"/>
          <w:szCs w:val="24"/>
        </w:rPr>
        <w:t xml:space="preserve">– </w:t>
      </w:r>
      <w:r>
        <w:rPr>
          <w:rFonts w:cstheme="minorHAnsi"/>
          <w:szCs w:val="24"/>
        </w:rPr>
        <w:t>obce</w:t>
      </w:r>
      <w:r w:rsidRPr="00DD3090">
        <w:rPr>
          <w:rFonts w:cstheme="minorHAnsi"/>
          <w:szCs w:val="24"/>
        </w:rPr>
        <w:t xml:space="preserve">: Betlanovce, Hnilčík, Hnilec, Hrabušice, Letanovce, Mlynky, Smižany, Spišské Tomášovce, Spišská Nová Ves </w:t>
      </w:r>
    </w:p>
    <w:p w14:paraId="39D0C518" w14:textId="77777777" w:rsidR="009558C9" w:rsidRPr="00DD3090" w:rsidRDefault="009558C9" w:rsidP="0038174C">
      <w:pPr>
        <w:spacing w:after="0" w:line="276" w:lineRule="auto"/>
        <w:jc w:val="both"/>
        <w:rPr>
          <w:rFonts w:cstheme="minorHAnsi"/>
          <w:b/>
          <w:szCs w:val="24"/>
        </w:rPr>
      </w:pPr>
      <w:r w:rsidRPr="00DD3090">
        <w:rPr>
          <w:rFonts w:cstheme="minorHAnsi"/>
          <w:b/>
          <w:szCs w:val="24"/>
        </w:rPr>
        <w:t xml:space="preserve">Okres Rožňava </w:t>
      </w:r>
      <w:r w:rsidRPr="00DD3090">
        <w:rPr>
          <w:rFonts w:cstheme="minorHAnsi"/>
          <w:szCs w:val="24"/>
        </w:rPr>
        <w:t>– obce: Dedinky, Dobšiná, Stratená</w:t>
      </w:r>
    </w:p>
    <w:p w14:paraId="19260AD4" w14:textId="77777777" w:rsidR="009558C9" w:rsidRPr="00DD3090" w:rsidRDefault="009558C9" w:rsidP="0038174C">
      <w:pPr>
        <w:spacing w:after="0" w:line="276" w:lineRule="auto"/>
        <w:jc w:val="both"/>
        <w:rPr>
          <w:rFonts w:cstheme="minorHAnsi"/>
          <w:szCs w:val="24"/>
          <w:u w:val="single"/>
        </w:rPr>
      </w:pPr>
      <w:r w:rsidRPr="00DD3090">
        <w:rPr>
          <w:rFonts w:cstheme="minorHAnsi"/>
          <w:szCs w:val="24"/>
          <w:u w:val="single"/>
        </w:rPr>
        <w:t>Prešovský samosprávny kraj</w:t>
      </w:r>
    </w:p>
    <w:p w14:paraId="637A2A13" w14:textId="77777777" w:rsidR="009558C9" w:rsidRPr="00DD3090" w:rsidRDefault="009558C9" w:rsidP="0038174C">
      <w:pPr>
        <w:spacing w:after="0" w:line="276" w:lineRule="auto"/>
        <w:jc w:val="both"/>
        <w:rPr>
          <w:rFonts w:cstheme="minorHAnsi"/>
          <w:b/>
          <w:szCs w:val="24"/>
        </w:rPr>
      </w:pPr>
      <w:r w:rsidRPr="00DD3090">
        <w:rPr>
          <w:rFonts w:cstheme="minorHAnsi"/>
          <w:b/>
          <w:szCs w:val="24"/>
        </w:rPr>
        <w:t xml:space="preserve">Okres Poprad </w:t>
      </w:r>
      <w:r w:rsidRPr="00DD3090">
        <w:rPr>
          <w:rFonts w:cstheme="minorHAnsi"/>
          <w:szCs w:val="24"/>
        </w:rPr>
        <w:t xml:space="preserve">– </w:t>
      </w:r>
      <w:r>
        <w:rPr>
          <w:rFonts w:cstheme="minorHAnsi"/>
          <w:szCs w:val="24"/>
        </w:rPr>
        <w:t>obce</w:t>
      </w:r>
      <w:r w:rsidRPr="00DD3090">
        <w:rPr>
          <w:rFonts w:cstheme="minorHAnsi"/>
          <w:szCs w:val="24"/>
        </w:rPr>
        <w:t>: Hranovnica, Spišské Bystré, Spišský Štiavnik, Vernár, Vydrník</w:t>
      </w:r>
    </w:p>
    <w:p w14:paraId="60AD0A8B" w14:textId="77777777" w:rsidR="009558C9" w:rsidRPr="00DD3090" w:rsidRDefault="009558C9" w:rsidP="0038174C">
      <w:pPr>
        <w:spacing w:after="0" w:line="276" w:lineRule="auto"/>
        <w:jc w:val="both"/>
        <w:rPr>
          <w:rFonts w:cstheme="minorHAnsi"/>
          <w:szCs w:val="24"/>
          <w:u w:val="single"/>
        </w:rPr>
      </w:pPr>
      <w:r w:rsidRPr="00DD3090">
        <w:rPr>
          <w:rFonts w:cstheme="minorHAnsi"/>
          <w:szCs w:val="24"/>
          <w:u w:val="single"/>
        </w:rPr>
        <w:t>Banskobystrický samosprávny kraj</w:t>
      </w:r>
    </w:p>
    <w:p w14:paraId="697A690F" w14:textId="77777777" w:rsidR="009558C9" w:rsidRDefault="009558C9" w:rsidP="0038174C">
      <w:pPr>
        <w:spacing w:after="0" w:line="276" w:lineRule="auto"/>
        <w:jc w:val="both"/>
        <w:rPr>
          <w:rFonts w:cstheme="minorHAnsi"/>
          <w:szCs w:val="24"/>
        </w:rPr>
      </w:pPr>
      <w:r w:rsidRPr="00DD3090">
        <w:rPr>
          <w:rFonts w:cstheme="minorHAnsi"/>
          <w:b/>
          <w:szCs w:val="24"/>
        </w:rPr>
        <w:t>Okres Brezno</w:t>
      </w:r>
      <w:r w:rsidRPr="00DD3090">
        <w:rPr>
          <w:rFonts w:cstheme="minorHAnsi"/>
          <w:szCs w:val="24"/>
        </w:rPr>
        <w:t xml:space="preserve"> – obec Telgárt</w:t>
      </w:r>
    </w:p>
    <w:p w14:paraId="0C46D515" w14:textId="77777777" w:rsidR="00A7136D" w:rsidRPr="00A7136D" w:rsidRDefault="00A7136D" w:rsidP="0038174C">
      <w:pPr>
        <w:spacing w:line="276" w:lineRule="auto"/>
      </w:pPr>
    </w:p>
    <w:p w14:paraId="5FC04D48" w14:textId="27B004BB" w:rsidR="00D60178" w:rsidRDefault="009558C9" w:rsidP="0038174C">
      <w:pPr>
        <w:spacing w:line="276" w:lineRule="auto"/>
        <w:jc w:val="both"/>
      </w:pPr>
      <w:r w:rsidRPr="00D864FD">
        <w:t>Celé územie katastrov obcí má rozlohu 596,40 km</w:t>
      </w:r>
      <w:r w:rsidRPr="00D864FD">
        <w:rPr>
          <w:vertAlign w:val="superscript"/>
        </w:rPr>
        <w:t>2</w:t>
      </w:r>
      <w:r w:rsidRPr="00D864FD">
        <w:t xml:space="preserve"> a počet tam žijúcich obyvateľov  </w:t>
      </w:r>
      <w:r w:rsidR="005F3848">
        <w:t>v roku 2016</w:t>
      </w:r>
      <w:r w:rsidRPr="00D864FD">
        <w:t xml:space="preserve"> je </w:t>
      </w:r>
      <w:r w:rsidR="005F3848" w:rsidRPr="005F3848">
        <w:rPr>
          <w:szCs w:val="18"/>
        </w:rPr>
        <w:t>72</w:t>
      </w:r>
      <w:r w:rsidR="00272724">
        <w:rPr>
          <w:szCs w:val="18"/>
        </w:rPr>
        <w:t xml:space="preserve"> </w:t>
      </w:r>
      <w:r w:rsidR="005F3848" w:rsidRPr="005F3848">
        <w:rPr>
          <w:szCs w:val="18"/>
        </w:rPr>
        <w:t>989</w:t>
      </w:r>
      <w:r w:rsidR="005F3848" w:rsidRPr="00415C60">
        <w:t xml:space="preserve"> </w:t>
      </w:r>
      <w:r w:rsidRPr="00415C60">
        <w:t xml:space="preserve">(podľa ŠÚ </w:t>
      </w:r>
      <w:r w:rsidR="00CE54E2">
        <w:t>SR</w:t>
      </w:r>
      <w:r w:rsidRPr="00415C60">
        <w:t>)</w:t>
      </w:r>
      <w:r w:rsidRPr="00415C60">
        <w:rPr>
          <w:b/>
        </w:rPr>
        <w:t>.</w:t>
      </w:r>
      <w:r w:rsidRPr="00415C60">
        <w:t xml:space="preserve"> Z toho mesto Spišská Nová Ves má rozlohu 529,70 km</w:t>
      </w:r>
      <w:r w:rsidRPr="00415C60">
        <w:rPr>
          <w:vertAlign w:val="superscript"/>
        </w:rPr>
        <w:t>2</w:t>
      </w:r>
      <w:r w:rsidRPr="00415C60">
        <w:t xml:space="preserve"> a počet tam žijúcich obyvateľov je 37 795 (52% z celkového počtu obyvateľov). Hustota obyvateľov v obciach Slovenského raja je 311,04 obyvateľov na jednom kilometri štvorcovom a bez mesta Spišská Nová Ves je hustota cca 66 obyv./km</w:t>
      </w:r>
      <w:r w:rsidRPr="00415C60">
        <w:rPr>
          <w:vertAlign w:val="superscript"/>
        </w:rPr>
        <w:t>2</w:t>
      </w:r>
      <w:r w:rsidR="00CE54E2">
        <w:t>.</w:t>
      </w:r>
    </w:p>
    <w:p w14:paraId="216FEE2D" w14:textId="22A6DFFD" w:rsidR="004A4B83" w:rsidRDefault="004A4B83" w:rsidP="0038174C">
      <w:pPr>
        <w:spacing w:after="240" w:line="276" w:lineRule="auto"/>
      </w:pPr>
      <w:r>
        <w:t>Z dôvodu</w:t>
      </w:r>
      <w:r w:rsidRPr="00934574">
        <w:t xml:space="preserve"> veľkého množstva obcí v Slovenskom raji</w:t>
      </w:r>
      <w:r>
        <w:t xml:space="preserve"> </w:t>
      </w:r>
      <w:r w:rsidRPr="00934574">
        <w:t xml:space="preserve">je analýza rozdelená na dve </w:t>
      </w:r>
      <w:r>
        <w:t>špecifické</w:t>
      </w:r>
      <w:r w:rsidR="00F56206">
        <w:t xml:space="preserve"> </w:t>
      </w:r>
      <w:r w:rsidRPr="00934574">
        <w:t>časti</w:t>
      </w:r>
      <w:r>
        <w:t xml:space="preserve"> územia</w:t>
      </w:r>
      <w:r w:rsidRPr="00934574">
        <w:t xml:space="preserve"> </w:t>
      </w:r>
      <w:r>
        <w:t>Slovenského raja:</w:t>
      </w:r>
    </w:p>
    <w:p w14:paraId="5E10E56D" w14:textId="121447E5" w:rsidR="004A4B83" w:rsidRDefault="004A4B83" w:rsidP="00E30BB1">
      <w:pPr>
        <w:pStyle w:val="Odsekzoznamu"/>
        <w:numPr>
          <w:ilvl w:val="0"/>
          <w:numId w:val="2"/>
        </w:numPr>
        <w:spacing w:after="240" w:line="276" w:lineRule="auto"/>
      </w:pPr>
      <w:r w:rsidRPr="004A4B83">
        <w:rPr>
          <w:color w:val="833C0B" w:themeColor="accent2" w:themeShade="80"/>
        </w:rPr>
        <w:t xml:space="preserve">severná časť </w:t>
      </w:r>
      <w:r w:rsidR="00240B61">
        <w:rPr>
          <w:color w:val="833C0B" w:themeColor="accent2" w:themeShade="80"/>
        </w:rPr>
        <w:t xml:space="preserve">NP </w:t>
      </w:r>
      <w:r w:rsidRPr="004A4B83">
        <w:rPr>
          <w:color w:val="833C0B" w:themeColor="accent2" w:themeShade="80"/>
        </w:rPr>
        <w:t>Slovenského raja:  Betlanovce, Hnilčík, Hrabušice, Hranovnica, Letanovce, Smižany, Spišské Bystré, Spišský Štiavnik, Spišské Tomášovce a Vydrník</w:t>
      </w:r>
      <w:r w:rsidRPr="00934574">
        <w:t> </w:t>
      </w:r>
    </w:p>
    <w:p w14:paraId="493E5F76" w14:textId="5374E706" w:rsidR="004A4B83" w:rsidRPr="004A4B83" w:rsidRDefault="004A4B83" w:rsidP="00E30BB1">
      <w:pPr>
        <w:pStyle w:val="Odsekzoznamu"/>
        <w:numPr>
          <w:ilvl w:val="0"/>
          <w:numId w:val="2"/>
        </w:numPr>
        <w:spacing w:after="240" w:line="276" w:lineRule="auto"/>
        <w:contextualSpacing w:val="0"/>
        <w:rPr>
          <w:color w:val="1F4E79" w:themeColor="accent1" w:themeShade="80"/>
        </w:rPr>
      </w:pPr>
      <w:r w:rsidRPr="004A4B83">
        <w:rPr>
          <w:color w:val="1F4E79" w:themeColor="accent1" w:themeShade="80"/>
        </w:rPr>
        <w:t>južn</w:t>
      </w:r>
      <w:r>
        <w:rPr>
          <w:color w:val="1F4E79" w:themeColor="accent1" w:themeShade="80"/>
        </w:rPr>
        <w:t>á</w:t>
      </w:r>
      <w:r w:rsidRPr="004A4B83">
        <w:rPr>
          <w:color w:val="1F4E79" w:themeColor="accent1" w:themeShade="80"/>
        </w:rPr>
        <w:t xml:space="preserve"> čas</w:t>
      </w:r>
      <w:r>
        <w:rPr>
          <w:color w:val="1F4E79" w:themeColor="accent1" w:themeShade="80"/>
        </w:rPr>
        <w:t>ť</w:t>
      </w:r>
      <w:r w:rsidR="00240B61">
        <w:rPr>
          <w:color w:val="1F4E79" w:themeColor="accent1" w:themeShade="80"/>
        </w:rPr>
        <w:t xml:space="preserve"> NP</w:t>
      </w:r>
      <w:r w:rsidRPr="004A4B83">
        <w:rPr>
          <w:color w:val="1F4E79" w:themeColor="accent1" w:themeShade="80"/>
        </w:rPr>
        <w:t xml:space="preserve"> Slovenského raja: Dedinky, Dobšiná, Hnilec, Mlynky, Stratená, Telgárt a Vernár</w:t>
      </w:r>
    </w:p>
    <w:p w14:paraId="605D2EBC" w14:textId="2B097794" w:rsidR="005F6D99" w:rsidRDefault="00496DE0" w:rsidP="0038174C">
      <w:pPr>
        <w:spacing w:line="276" w:lineRule="auto"/>
        <w:jc w:val="both"/>
      </w:pPr>
      <w:r>
        <w:t xml:space="preserve">Do demografických analýz nie je </w:t>
      </w:r>
      <w:r w:rsidRPr="00934574">
        <w:t xml:space="preserve">kvôli skresľovaniu výsledkov </w:t>
      </w:r>
      <w:r>
        <w:t xml:space="preserve">zahrnuté </w:t>
      </w:r>
      <w:r w:rsidRPr="00934574">
        <w:t xml:space="preserve">Mesto Spišská Nová Ves </w:t>
      </w:r>
      <w:r>
        <w:t xml:space="preserve">(aj keď je súčasťou vymedzeného územia, lebo napr. len </w:t>
      </w:r>
      <w:r w:rsidRPr="00934574">
        <w:t xml:space="preserve">počet obyvateľov mesta Spišská Nová Ves </w:t>
      </w:r>
      <w:r>
        <w:t>je</w:t>
      </w:r>
      <w:r w:rsidRPr="00934574">
        <w:t xml:space="preserve"> cca 37 000 a počet obyvateľov zvyšných 17 obcí = cca 35</w:t>
      </w:r>
      <w:r>
        <w:t> </w:t>
      </w:r>
      <w:r w:rsidRPr="00934574">
        <w:t>000)</w:t>
      </w:r>
      <w:r w:rsidR="00050825">
        <w:t>.</w:t>
      </w:r>
    </w:p>
    <w:p w14:paraId="72DE2617" w14:textId="6346B7E3" w:rsidR="008036A0" w:rsidRPr="006F2963" w:rsidRDefault="008036A0" w:rsidP="0038174C">
      <w:pPr>
        <w:pStyle w:val="Popis"/>
        <w:keepNext/>
        <w:spacing w:line="276" w:lineRule="auto"/>
        <w:rPr>
          <w:b/>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850"/>
        <w:gridCol w:w="993"/>
        <w:gridCol w:w="850"/>
        <w:gridCol w:w="992"/>
        <w:gridCol w:w="709"/>
        <w:gridCol w:w="1134"/>
        <w:gridCol w:w="851"/>
        <w:gridCol w:w="1417"/>
      </w:tblGrid>
      <w:tr w:rsidR="008036A0" w:rsidRPr="00FF6A10" w14:paraId="7F269E71" w14:textId="77777777" w:rsidTr="00200210">
        <w:tc>
          <w:tcPr>
            <w:tcW w:w="1305" w:type="dxa"/>
            <w:shd w:val="clear" w:color="auto" w:fill="BFBFBF" w:themeFill="background1" w:themeFillShade="BF"/>
            <w:vAlign w:val="center"/>
          </w:tcPr>
          <w:p w14:paraId="3489950B" w14:textId="77777777" w:rsidR="008036A0" w:rsidRPr="00415C60" w:rsidRDefault="008036A0" w:rsidP="0038174C">
            <w:pPr>
              <w:spacing w:line="276" w:lineRule="auto"/>
              <w:jc w:val="center"/>
              <w:rPr>
                <w:b/>
                <w:sz w:val="18"/>
                <w:szCs w:val="18"/>
              </w:rPr>
            </w:pPr>
            <w:r w:rsidRPr="00415C60">
              <w:rPr>
                <w:b/>
                <w:sz w:val="18"/>
                <w:szCs w:val="18"/>
              </w:rPr>
              <w:t>Obec</w:t>
            </w:r>
          </w:p>
        </w:tc>
        <w:tc>
          <w:tcPr>
            <w:tcW w:w="850" w:type="dxa"/>
            <w:shd w:val="clear" w:color="auto" w:fill="BFBFBF" w:themeFill="background1" w:themeFillShade="BF"/>
            <w:vAlign w:val="center"/>
          </w:tcPr>
          <w:p w14:paraId="1D2796A6" w14:textId="77777777" w:rsidR="008036A0" w:rsidRPr="00415C60" w:rsidRDefault="008036A0" w:rsidP="0038174C">
            <w:pPr>
              <w:spacing w:line="276" w:lineRule="auto"/>
              <w:jc w:val="center"/>
              <w:rPr>
                <w:b/>
                <w:sz w:val="18"/>
                <w:szCs w:val="18"/>
              </w:rPr>
            </w:pPr>
            <w:r w:rsidRPr="00415C60">
              <w:rPr>
                <w:b/>
                <w:sz w:val="18"/>
                <w:szCs w:val="18"/>
              </w:rPr>
              <w:t>Kraj, okres</w:t>
            </w:r>
          </w:p>
        </w:tc>
        <w:tc>
          <w:tcPr>
            <w:tcW w:w="993" w:type="dxa"/>
            <w:shd w:val="clear" w:color="auto" w:fill="BFBFBF" w:themeFill="background1" w:themeFillShade="BF"/>
            <w:vAlign w:val="center"/>
          </w:tcPr>
          <w:p w14:paraId="12CB1501" w14:textId="77777777" w:rsidR="008036A0" w:rsidRDefault="008036A0" w:rsidP="0038174C">
            <w:pPr>
              <w:spacing w:line="276" w:lineRule="auto"/>
              <w:jc w:val="center"/>
              <w:rPr>
                <w:b/>
                <w:sz w:val="18"/>
                <w:szCs w:val="18"/>
              </w:rPr>
            </w:pPr>
            <w:r w:rsidRPr="00415C60">
              <w:rPr>
                <w:b/>
                <w:sz w:val="18"/>
                <w:szCs w:val="18"/>
              </w:rPr>
              <w:t>Počet obyv. k 31.12.</w:t>
            </w:r>
          </w:p>
          <w:p w14:paraId="13F191C5" w14:textId="77777777" w:rsidR="008036A0" w:rsidRPr="00415C60" w:rsidRDefault="008036A0" w:rsidP="0038174C">
            <w:pPr>
              <w:spacing w:line="276" w:lineRule="auto"/>
              <w:jc w:val="center"/>
              <w:rPr>
                <w:b/>
                <w:sz w:val="18"/>
                <w:szCs w:val="18"/>
              </w:rPr>
            </w:pPr>
            <w:r w:rsidRPr="00415C60">
              <w:rPr>
                <w:b/>
                <w:sz w:val="18"/>
                <w:szCs w:val="18"/>
              </w:rPr>
              <w:t>2009</w:t>
            </w:r>
          </w:p>
        </w:tc>
        <w:tc>
          <w:tcPr>
            <w:tcW w:w="850" w:type="dxa"/>
            <w:shd w:val="clear" w:color="auto" w:fill="BFBFBF" w:themeFill="background1" w:themeFillShade="BF"/>
            <w:vAlign w:val="center"/>
          </w:tcPr>
          <w:p w14:paraId="3571F434" w14:textId="77777777" w:rsidR="008036A0" w:rsidRPr="00415C60" w:rsidRDefault="008036A0" w:rsidP="0038174C">
            <w:pPr>
              <w:spacing w:line="276" w:lineRule="auto"/>
              <w:jc w:val="center"/>
              <w:rPr>
                <w:b/>
                <w:sz w:val="18"/>
                <w:szCs w:val="18"/>
              </w:rPr>
            </w:pPr>
            <w:r w:rsidRPr="00415C60">
              <w:rPr>
                <w:b/>
                <w:sz w:val="18"/>
                <w:szCs w:val="18"/>
              </w:rPr>
              <w:t>Počet obyv. k 31.12.2013 ŠÚ SR</w:t>
            </w:r>
          </w:p>
        </w:tc>
        <w:tc>
          <w:tcPr>
            <w:tcW w:w="992" w:type="dxa"/>
            <w:shd w:val="clear" w:color="auto" w:fill="BFBFBF" w:themeFill="background1" w:themeFillShade="BF"/>
          </w:tcPr>
          <w:p w14:paraId="00960E7D" w14:textId="3B3EDB78" w:rsidR="008036A0" w:rsidRPr="00415C60" w:rsidRDefault="008036A0" w:rsidP="0038174C">
            <w:pPr>
              <w:spacing w:line="276" w:lineRule="auto"/>
              <w:jc w:val="center"/>
              <w:rPr>
                <w:b/>
                <w:sz w:val="18"/>
                <w:szCs w:val="18"/>
              </w:rPr>
            </w:pPr>
            <w:r w:rsidRPr="00415C60">
              <w:rPr>
                <w:b/>
                <w:sz w:val="18"/>
                <w:szCs w:val="18"/>
              </w:rPr>
              <w:t xml:space="preserve">Počet obyv. </w:t>
            </w:r>
            <w:r>
              <w:rPr>
                <w:b/>
                <w:sz w:val="18"/>
                <w:szCs w:val="18"/>
              </w:rPr>
              <w:t>za rok 2016</w:t>
            </w:r>
            <w:r w:rsidRPr="00415C60">
              <w:rPr>
                <w:b/>
                <w:sz w:val="18"/>
                <w:szCs w:val="18"/>
              </w:rPr>
              <w:t xml:space="preserve"> ŠÚ SR</w:t>
            </w:r>
          </w:p>
        </w:tc>
        <w:tc>
          <w:tcPr>
            <w:tcW w:w="709" w:type="dxa"/>
            <w:shd w:val="clear" w:color="auto" w:fill="BFBFBF" w:themeFill="background1" w:themeFillShade="BF"/>
            <w:vAlign w:val="center"/>
          </w:tcPr>
          <w:p w14:paraId="6FB24D39" w14:textId="5322FECE" w:rsidR="008036A0" w:rsidRPr="00415C60" w:rsidRDefault="008036A0" w:rsidP="0038174C">
            <w:pPr>
              <w:spacing w:line="276" w:lineRule="auto"/>
              <w:jc w:val="center"/>
              <w:rPr>
                <w:b/>
                <w:sz w:val="18"/>
                <w:szCs w:val="18"/>
              </w:rPr>
            </w:pPr>
            <w:r w:rsidRPr="00415C60">
              <w:rPr>
                <w:b/>
                <w:sz w:val="18"/>
                <w:szCs w:val="18"/>
              </w:rPr>
              <w:t>Rozloha</w:t>
            </w:r>
          </w:p>
          <w:p w14:paraId="264977D9" w14:textId="77777777" w:rsidR="008036A0" w:rsidRPr="00415C60" w:rsidRDefault="008036A0" w:rsidP="0038174C">
            <w:pPr>
              <w:spacing w:line="276" w:lineRule="auto"/>
              <w:jc w:val="center"/>
              <w:rPr>
                <w:b/>
                <w:sz w:val="18"/>
                <w:szCs w:val="18"/>
              </w:rPr>
            </w:pPr>
            <w:r w:rsidRPr="00415C60">
              <w:rPr>
                <w:sz w:val="18"/>
                <w:szCs w:val="18"/>
              </w:rPr>
              <w:t>(km</w:t>
            </w:r>
            <w:r w:rsidRPr="00415C60">
              <w:rPr>
                <w:sz w:val="18"/>
                <w:szCs w:val="18"/>
                <w:vertAlign w:val="superscript"/>
              </w:rPr>
              <w:t>2</w:t>
            </w:r>
            <w:r w:rsidRPr="00415C60">
              <w:rPr>
                <w:sz w:val="18"/>
                <w:szCs w:val="18"/>
              </w:rPr>
              <w:t>)</w:t>
            </w:r>
          </w:p>
        </w:tc>
        <w:tc>
          <w:tcPr>
            <w:tcW w:w="1134" w:type="dxa"/>
            <w:shd w:val="clear" w:color="auto" w:fill="BFBFBF" w:themeFill="background1" w:themeFillShade="BF"/>
            <w:vAlign w:val="center"/>
          </w:tcPr>
          <w:p w14:paraId="6B878849" w14:textId="77777777" w:rsidR="008036A0" w:rsidRPr="004F0B6B" w:rsidRDefault="008036A0" w:rsidP="0038174C">
            <w:pPr>
              <w:spacing w:line="276" w:lineRule="auto"/>
              <w:jc w:val="center"/>
              <w:rPr>
                <w:b/>
                <w:color w:val="000000" w:themeColor="text1"/>
                <w:sz w:val="18"/>
                <w:szCs w:val="18"/>
              </w:rPr>
            </w:pPr>
            <w:r w:rsidRPr="004F0B6B">
              <w:rPr>
                <w:b/>
                <w:color w:val="000000" w:themeColor="text1"/>
                <w:sz w:val="18"/>
                <w:szCs w:val="18"/>
              </w:rPr>
              <w:t>Hustota</w:t>
            </w:r>
          </w:p>
          <w:p w14:paraId="49844B29" w14:textId="71D6BE88" w:rsidR="008036A0" w:rsidRPr="00F76DB0" w:rsidRDefault="008036A0" w:rsidP="0038174C">
            <w:pPr>
              <w:spacing w:line="276" w:lineRule="auto"/>
              <w:jc w:val="center"/>
              <w:rPr>
                <w:color w:val="FF0000"/>
                <w:sz w:val="18"/>
                <w:szCs w:val="18"/>
              </w:rPr>
            </w:pPr>
            <w:r w:rsidRPr="004F0B6B">
              <w:rPr>
                <w:b/>
                <w:color w:val="000000" w:themeColor="text1"/>
                <w:sz w:val="18"/>
                <w:szCs w:val="18"/>
              </w:rPr>
              <w:t>(obyv</w:t>
            </w:r>
            <w:r w:rsidR="005F6D99">
              <w:rPr>
                <w:b/>
                <w:color w:val="000000" w:themeColor="text1"/>
                <w:sz w:val="18"/>
                <w:szCs w:val="18"/>
              </w:rPr>
              <w:t>.</w:t>
            </w:r>
            <w:r w:rsidRPr="004F0B6B">
              <w:rPr>
                <w:b/>
                <w:color w:val="000000" w:themeColor="text1"/>
                <w:sz w:val="18"/>
                <w:szCs w:val="18"/>
              </w:rPr>
              <w:t>/km</w:t>
            </w:r>
            <w:r w:rsidRPr="004F0B6B">
              <w:rPr>
                <w:b/>
                <w:color w:val="000000" w:themeColor="text1"/>
                <w:sz w:val="18"/>
                <w:szCs w:val="18"/>
                <w:vertAlign w:val="superscript"/>
              </w:rPr>
              <w:t>2</w:t>
            </w:r>
            <w:r w:rsidRPr="004F0B6B">
              <w:rPr>
                <w:b/>
                <w:color w:val="000000" w:themeColor="text1"/>
                <w:sz w:val="18"/>
                <w:szCs w:val="18"/>
              </w:rPr>
              <w:t>)</w:t>
            </w:r>
          </w:p>
        </w:tc>
        <w:tc>
          <w:tcPr>
            <w:tcW w:w="851" w:type="dxa"/>
            <w:shd w:val="clear" w:color="auto" w:fill="BFBFBF" w:themeFill="background1" w:themeFillShade="BF"/>
            <w:vAlign w:val="center"/>
          </w:tcPr>
          <w:p w14:paraId="73443A6F" w14:textId="77777777" w:rsidR="008036A0" w:rsidRPr="00415C60" w:rsidRDefault="008036A0" w:rsidP="0038174C">
            <w:pPr>
              <w:spacing w:line="276" w:lineRule="auto"/>
              <w:jc w:val="center"/>
              <w:rPr>
                <w:b/>
                <w:sz w:val="18"/>
                <w:szCs w:val="18"/>
                <w:vertAlign w:val="superscript"/>
              </w:rPr>
            </w:pPr>
            <w:r w:rsidRPr="00415C60">
              <w:rPr>
                <w:b/>
                <w:sz w:val="18"/>
                <w:szCs w:val="18"/>
              </w:rPr>
              <w:t>Rozloha NP v katastroch obcí km</w:t>
            </w:r>
            <w:r w:rsidRPr="00415C60">
              <w:rPr>
                <w:b/>
                <w:sz w:val="18"/>
                <w:szCs w:val="18"/>
                <w:vertAlign w:val="superscript"/>
              </w:rPr>
              <w:t>2</w:t>
            </w:r>
          </w:p>
        </w:tc>
        <w:tc>
          <w:tcPr>
            <w:tcW w:w="1417" w:type="dxa"/>
            <w:shd w:val="clear" w:color="auto" w:fill="BFBFBF" w:themeFill="background1" w:themeFillShade="BF"/>
            <w:vAlign w:val="center"/>
          </w:tcPr>
          <w:p w14:paraId="1B82ACA9" w14:textId="77777777" w:rsidR="008036A0" w:rsidRPr="00415C60" w:rsidRDefault="008036A0" w:rsidP="0038174C">
            <w:pPr>
              <w:spacing w:line="276" w:lineRule="auto"/>
              <w:jc w:val="center"/>
              <w:rPr>
                <w:b/>
                <w:sz w:val="18"/>
                <w:szCs w:val="18"/>
              </w:rPr>
            </w:pPr>
            <w:r w:rsidRPr="00415C60">
              <w:rPr>
                <w:b/>
                <w:sz w:val="18"/>
                <w:szCs w:val="18"/>
              </w:rPr>
              <w:t>Poloha obce vzhľadom na NP Slovenský raj</w:t>
            </w:r>
          </w:p>
        </w:tc>
      </w:tr>
      <w:tr w:rsidR="008036A0" w:rsidRPr="00FF6A10" w14:paraId="382BC3BB" w14:textId="77777777" w:rsidTr="00200210">
        <w:tc>
          <w:tcPr>
            <w:tcW w:w="1305" w:type="dxa"/>
          </w:tcPr>
          <w:p w14:paraId="07994718" w14:textId="77777777" w:rsidR="008036A0" w:rsidRPr="004A4B83" w:rsidRDefault="008036A0" w:rsidP="0038174C">
            <w:pPr>
              <w:spacing w:line="276" w:lineRule="auto"/>
              <w:rPr>
                <w:color w:val="833C0B" w:themeColor="accent2" w:themeShade="80"/>
                <w:sz w:val="18"/>
                <w:szCs w:val="18"/>
              </w:rPr>
            </w:pPr>
            <w:r w:rsidRPr="004A4B83">
              <w:rPr>
                <w:color w:val="833C0B" w:themeColor="accent2" w:themeShade="80"/>
                <w:sz w:val="18"/>
                <w:szCs w:val="18"/>
              </w:rPr>
              <w:t>Betlanovce</w:t>
            </w:r>
          </w:p>
        </w:tc>
        <w:tc>
          <w:tcPr>
            <w:tcW w:w="850" w:type="dxa"/>
            <w:vAlign w:val="center"/>
          </w:tcPr>
          <w:p w14:paraId="1E4928E1" w14:textId="77777777" w:rsidR="008036A0" w:rsidRPr="004A4B83" w:rsidRDefault="008036A0" w:rsidP="0038174C">
            <w:pPr>
              <w:spacing w:line="276" w:lineRule="auto"/>
              <w:jc w:val="center"/>
              <w:rPr>
                <w:color w:val="833C0B" w:themeColor="accent2" w:themeShade="80"/>
                <w:sz w:val="18"/>
                <w:szCs w:val="18"/>
              </w:rPr>
            </w:pPr>
            <w:r w:rsidRPr="004A4B83">
              <w:rPr>
                <w:color w:val="833C0B" w:themeColor="accent2" w:themeShade="80"/>
                <w:sz w:val="18"/>
                <w:szCs w:val="18"/>
              </w:rPr>
              <w:t>KSK, SN</w:t>
            </w:r>
          </w:p>
        </w:tc>
        <w:tc>
          <w:tcPr>
            <w:tcW w:w="993" w:type="dxa"/>
            <w:vAlign w:val="center"/>
          </w:tcPr>
          <w:p w14:paraId="77B20C50" w14:textId="77777777"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687</w:t>
            </w:r>
          </w:p>
        </w:tc>
        <w:tc>
          <w:tcPr>
            <w:tcW w:w="850" w:type="dxa"/>
            <w:vAlign w:val="center"/>
          </w:tcPr>
          <w:p w14:paraId="048F4B55" w14:textId="77777777"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695 (+)</w:t>
            </w:r>
          </w:p>
        </w:tc>
        <w:tc>
          <w:tcPr>
            <w:tcW w:w="992" w:type="dxa"/>
          </w:tcPr>
          <w:p w14:paraId="50BB82A3" w14:textId="2613E707"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701 (+)</w:t>
            </w:r>
          </w:p>
        </w:tc>
        <w:tc>
          <w:tcPr>
            <w:tcW w:w="709" w:type="dxa"/>
          </w:tcPr>
          <w:p w14:paraId="0849AF82" w14:textId="17B6893C"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10,13</w:t>
            </w:r>
          </w:p>
        </w:tc>
        <w:tc>
          <w:tcPr>
            <w:tcW w:w="1134" w:type="dxa"/>
            <w:vAlign w:val="bottom"/>
          </w:tcPr>
          <w:p w14:paraId="0DDEC77A" w14:textId="77777777" w:rsidR="008036A0" w:rsidRPr="004A4B83" w:rsidRDefault="008036A0" w:rsidP="0038174C">
            <w:pPr>
              <w:spacing w:line="276" w:lineRule="auto"/>
              <w:jc w:val="right"/>
              <w:rPr>
                <w:rFonts w:cs="Arial"/>
                <w:color w:val="833C0B" w:themeColor="accent2" w:themeShade="80"/>
                <w:sz w:val="18"/>
                <w:szCs w:val="18"/>
              </w:rPr>
            </w:pPr>
            <w:r w:rsidRPr="004A4B83">
              <w:rPr>
                <w:rFonts w:cs="Arial"/>
                <w:color w:val="833C0B" w:themeColor="accent2" w:themeShade="80"/>
                <w:sz w:val="18"/>
                <w:szCs w:val="18"/>
              </w:rPr>
              <w:t>68,61</w:t>
            </w:r>
          </w:p>
        </w:tc>
        <w:tc>
          <w:tcPr>
            <w:tcW w:w="851" w:type="dxa"/>
            <w:vAlign w:val="center"/>
          </w:tcPr>
          <w:p w14:paraId="36973E1B" w14:textId="77777777"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5,0122</w:t>
            </w:r>
          </w:p>
        </w:tc>
        <w:tc>
          <w:tcPr>
            <w:tcW w:w="1417" w:type="dxa"/>
            <w:vAlign w:val="center"/>
          </w:tcPr>
          <w:p w14:paraId="633660C8" w14:textId="77777777"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NP, OP, OK</w:t>
            </w:r>
          </w:p>
        </w:tc>
      </w:tr>
      <w:tr w:rsidR="008036A0" w:rsidRPr="00FF6A10" w14:paraId="31A7194B" w14:textId="77777777" w:rsidTr="00200210">
        <w:tc>
          <w:tcPr>
            <w:tcW w:w="1305" w:type="dxa"/>
          </w:tcPr>
          <w:p w14:paraId="0200A611" w14:textId="77777777" w:rsidR="008036A0" w:rsidRPr="004A4B83" w:rsidRDefault="008036A0" w:rsidP="0038174C">
            <w:pPr>
              <w:spacing w:line="276" w:lineRule="auto"/>
              <w:rPr>
                <w:color w:val="833C0B" w:themeColor="accent2" w:themeShade="80"/>
                <w:sz w:val="18"/>
                <w:szCs w:val="18"/>
              </w:rPr>
            </w:pPr>
            <w:r w:rsidRPr="004A4B83">
              <w:rPr>
                <w:color w:val="833C0B" w:themeColor="accent2" w:themeShade="80"/>
                <w:sz w:val="18"/>
                <w:szCs w:val="18"/>
              </w:rPr>
              <w:t>Hnilčík</w:t>
            </w:r>
          </w:p>
        </w:tc>
        <w:tc>
          <w:tcPr>
            <w:tcW w:w="850" w:type="dxa"/>
            <w:vAlign w:val="center"/>
          </w:tcPr>
          <w:p w14:paraId="6DEF9870" w14:textId="77777777" w:rsidR="008036A0" w:rsidRPr="004A4B83" w:rsidRDefault="008036A0" w:rsidP="0038174C">
            <w:pPr>
              <w:spacing w:line="276" w:lineRule="auto"/>
              <w:jc w:val="center"/>
              <w:rPr>
                <w:color w:val="833C0B" w:themeColor="accent2" w:themeShade="80"/>
                <w:sz w:val="18"/>
                <w:szCs w:val="18"/>
              </w:rPr>
            </w:pPr>
            <w:r w:rsidRPr="004A4B83">
              <w:rPr>
                <w:color w:val="833C0B" w:themeColor="accent2" w:themeShade="80"/>
                <w:sz w:val="18"/>
                <w:szCs w:val="18"/>
              </w:rPr>
              <w:t>KSK, SN</w:t>
            </w:r>
          </w:p>
        </w:tc>
        <w:tc>
          <w:tcPr>
            <w:tcW w:w="993" w:type="dxa"/>
            <w:vAlign w:val="center"/>
          </w:tcPr>
          <w:p w14:paraId="1BB7FEB9" w14:textId="77777777"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545</w:t>
            </w:r>
          </w:p>
        </w:tc>
        <w:tc>
          <w:tcPr>
            <w:tcW w:w="850" w:type="dxa"/>
            <w:vAlign w:val="center"/>
          </w:tcPr>
          <w:p w14:paraId="7CB3B753" w14:textId="77777777"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 xml:space="preserve">    545</w:t>
            </w:r>
          </w:p>
        </w:tc>
        <w:tc>
          <w:tcPr>
            <w:tcW w:w="992" w:type="dxa"/>
          </w:tcPr>
          <w:p w14:paraId="50AB93FB" w14:textId="43ABCD96"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556 (+)</w:t>
            </w:r>
          </w:p>
        </w:tc>
        <w:tc>
          <w:tcPr>
            <w:tcW w:w="709" w:type="dxa"/>
          </w:tcPr>
          <w:p w14:paraId="158CED3B" w14:textId="448F8344"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23,00</w:t>
            </w:r>
          </w:p>
        </w:tc>
        <w:tc>
          <w:tcPr>
            <w:tcW w:w="1134" w:type="dxa"/>
            <w:vAlign w:val="bottom"/>
          </w:tcPr>
          <w:p w14:paraId="5A75B07F" w14:textId="77777777" w:rsidR="008036A0" w:rsidRPr="004A4B83" w:rsidRDefault="008036A0" w:rsidP="0038174C">
            <w:pPr>
              <w:spacing w:line="276" w:lineRule="auto"/>
              <w:jc w:val="right"/>
              <w:rPr>
                <w:rFonts w:cs="Arial"/>
                <w:color w:val="833C0B" w:themeColor="accent2" w:themeShade="80"/>
                <w:sz w:val="18"/>
                <w:szCs w:val="18"/>
              </w:rPr>
            </w:pPr>
            <w:r w:rsidRPr="004A4B83">
              <w:rPr>
                <w:rFonts w:cs="Arial"/>
                <w:color w:val="833C0B" w:themeColor="accent2" w:themeShade="80"/>
                <w:sz w:val="18"/>
                <w:szCs w:val="18"/>
              </w:rPr>
              <w:t>23,70</w:t>
            </w:r>
          </w:p>
        </w:tc>
        <w:tc>
          <w:tcPr>
            <w:tcW w:w="851" w:type="dxa"/>
            <w:vAlign w:val="center"/>
          </w:tcPr>
          <w:p w14:paraId="7000DD96" w14:textId="77777777"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x</w:t>
            </w:r>
          </w:p>
        </w:tc>
        <w:tc>
          <w:tcPr>
            <w:tcW w:w="1417" w:type="dxa"/>
            <w:vAlign w:val="center"/>
          </w:tcPr>
          <w:p w14:paraId="6C41C172" w14:textId="77777777"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OP, OK</w:t>
            </w:r>
          </w:p>
        </w:tc>
      </w:tr>
      <w:tr w:rsidR="008036A0" w:rsidRPr="00FF6A10" w14:paraId="4442C8F0" w14:textId="77777777" w:rsidTr="00200210">
        <w:trPr>
          <w:trHeight w:val="77"/>
        </w:trPr>
        <w:tc>
          <w:tcPr>
            <w:tcW w:w="1305" w:type="dxa"/>
          </w:tcPr>
          <w:p w14:paraId="728214DB" w14:textId="77777777" w:rsidR="008036A0" w:rsidRPr="004A4B83" w:rsidRDefault="008036A0" w:rsidP="0038174C">
            <w:pPr>
              <w:spacing w:line="276" w:lineRule="auto"/>
              <w:rPr>
                <w:color w:val="1F3864" w:themeColor="accent5" w:themeShade="80"/>
                <w:sz w:val="18"/>
                <w:szCs w:val="18"/>
              </w:rPr>
            </w:pPr>
            <w:r w:rsidRPr="004A4B83">
              <w:rPr>
                <w:color w:val="1F3864" w:themeColor="accent5" w:themeShade="80"/>
                <w:sz w:val="18"/>
                <w:szCs w:val="18"/>
              </w:rPr>
              <w:t>Hnilec</w:t>
            </w:r>
          </w:p>
        </w:tc>
        <w:tc>
          <w:tcPr>
            <w:tcW w:w="850" w:type="dxa"/>
            <w:vAlign w:val="center"/>
          </w:tcPr>
          <w:p w14:paraId="036701C2" w14:textId="77777777" w:rsidR="008036A0" w:rsidRPr="004A4B83" w:rsidRDefault="008036A0" w:rsidP="0038174C">
            <w:pPr>
              <w:spacing w:line="276" w:lineRule="auto"/>
              <w:jc w:val="center"/>
              <w:rPr>
                <w:color w:val="1F3864" w:themeColor="accent5" w:themeShade="80"/>
                <w:sz w:val="18"/>
                <w:szCs w:val="18"/>
              </w:rPr>
            </w:pPr>
            <w:r w:rsidRPr="004A4B83">
              <w:rPr>
                <w:color w:val="1F3864" w:themeColor="accent5" w:themeShade="80"/>
                <w:sz w:val="18"/>
                <w:szCs w:val="18"/>
              </w:rPr>
              <w:t>KSK, SN</w:t>
            </w:r>
          </w:p>
        </w:tc>
        <w:tc>
          <w:tcPr>
            <w:tcW w:w="993" w:type="dxa"/>
            <w:vAlign w:val="center"/>
          </w:tcPr>
          <w:p w14:paraId="21BB2E0B" w14:textId="77777777" w:rsidR="008036A0" w:rsidRPr="004A4B83" w:rsidRDefault="008036A0" w:rsidP="0038174C">
            <w:pPr>
              <w:spacing w:line="276" w:lineRule="auto"/>
              <w:jc w:val="right"/>
              <w:rPr>
                <w:color w:val="1F3864" w:themeColor="accent5" w:themeShade="80"/>
                <w:sz w:val="18"/>
                <w:szCs w:val="18"/>
              </w:rPr>
            </w:pPr>
            <w:r w:rsidRPr="004A4B83">
              <w:rPr>
                <w:color w:val="1F3864" w:themeColor="accent5" w:themeShade="80"/>
                <w:sz w:val="18"/>
                <w:szCs w:val="18"/>
              </w:rPr>
              <w:t>440</w:t>
            </w:r>
          </w:p>
        </w:tc>
        <w:tc>
          <w:tcPr>
            <w:tcW w:w="850" w:type="dxa"/>
            <w:vAlign w:val="center"/>
          </w:tcPr>
          <w:p w14:paraId="24E2292D" w14:textId="77777777" w:rsidR="008036A0" w:rsidRPr="004A4B83" w:rsidRDefault="008036A0" w:rsidP="0038174C">
            <w:pPr>
              <w:spacing w:line="276" w:lineRule="auto"/>
              <w:jc w:val="right"/>
              <w:rPr>
                <w:color w:val="1F3864" w:themeColor="accent5" w:themeShade="80"/>
                <w:sz w:val="18"/>
                <w:szCs w:val="18"/>
              </w:rPr>
            </w:pPr>
            <w:r w:rsidRPr="004A4B83">
              <w:rPr>
                <w:color w:val="1F3864" w:themeColor="accent5" w:themeShade="80"/>
                <w:sz w:val="18"/>
                <w:szCs w:val="18"/>
              </w:rPr>
              <w:t>435 (-)</w:t>
            </w:r>
          </w:p>
        </w:tc>
        <w:tc>
          <w:tcPr>
            <w:tcW w:w="992" w:type="dxa"/>
          </w:tcPr>
          <w:p w14:paraId="28C623CD" w14:textId="5DB34E0F" w:rsidR="008036A0" w:rsidRPr="004A4B83" w:rsidRDefault="008036A0" w:rsidP="0038174C">
            <w:pPr>
              <w:spacing w:line="276" w:lineRule="auto"/>
              <w:jc w:val="right"/>
              <w:rPr>
                <w:color w:val="1F3864" w:themeColor="accent5" w:themeShade="80"/>
                <w:sz w:val="18"/>
                <w:szCs w:val="18"/>
              </w:rPr>
            </w:pPr>
            <w:r w:rsidRPr="004A4B83">
              <w:rPr>
                <w:color w:val="1F3864" w:themeColor="accent5" w:themeShade="80"/>
                <w:sz w:val="18"/>
                <w:szCs w:val="18"/>
              </w:rPr>
              <w:t>427 (</w:t>
            </w:r>
            <w:r w:rsidR="007543B3" w:rsidRPr="004A4B83">
              <w:rPr>
                <w:color w:val="1F3864" w:themeColor="accent5" w:themeShade="80"/>
                <w:sz w:val="18"/>
                <w:szCs w:val="18"/>
              </w:rPr>
              <w:t>-)</w:t>
            </w:r>
          </w:p>
        </w:tc>
        <w:tc>
          <w:tcPr>
            <w:tcW w:w="709" w:type="dxa"/>
          </w:tcPr>
          <w:p w14:paraId="13525A46" w14:textId="6158DA93" w:rsidR="008036A0" w:rsidRPr="004A4B83" w:rsidRDefault="008036A0" w:rsidP="0038174C">
            <w:pPr>
              <w:spacing w:line="276" w:lineRule="auto"/>
              <w:jc w:val="right"/>
              <w:rPr>
                <w:color w:val="1F3864" w:themeColor="accent5" w:themeShade="80"/>
                <w:sz w:val="18"/>
                <w:szCs w:val="18"/>
              </w:rPr>
            </w:pPr>
            <w:r w:rsidRPr="004A4B83">
              <w:rPr>
                <w:color w:val="1F3864" w:themeColor="accent5" w:themeShade="80"/>
                <w:sz w:val="18"/>
                <w:szCs w:val="18"/>
              </w:rPr>
              <w:t>27,08</w:t>
            </w:r>
          </w:p>
        </w:tc>
        <w:tc>
          <w:tcPr>
            <w:tcW w:w="1134" w:type="dxa"/>
            <w:vAlign w:val="bottom"/>
          </w:tcPr>
          <w:p w14:paraId="595DE860" w14:textId="77777777" w:rsidR="008036A0" w:rsidRPr="004A4B83" w:rsidRDefault="008036A0" w:rsidP="0038174C">
            <w:pPr>
              <w:spacing w:line="276" w:lineRule="auto"/>
              <w:jc w:val="right"/>
              <w:rPr>
                <w:rFonts w:cs="Arial"/>
                <w:color w:val="1F3864" w:themeColor="accent5" w:themeShade="80"/>
                <w:sz w:val="18"/>
                <w:szCs w:val="18"/>
              </w:rPr>
            </w:pPr>
            <w:r w:rsidRPr="004A4B83">
              <w:rPr>
                <w:rFonts w:cs="Arial"/>
                <w:color w:val="1F3864" w:themeColor="accent5" w:themeShade="80"/>
                <w:sz w:val="18"/>
                <w:szCs w:val="18"/>
              </w:rPr>
              <w:t>16,06</w:t>
            </w:r>
          </w:p>
        </w:tc>
        <w:tc>
          <w:tcPr>
            <w:tcW w:w="851" w:type="dxa"/>
            <w:vAlign w:val="center"/>
          </w:tcPr>
          <w:p w14:paraId="02A88684" w14:textId="77777777" w:rsidR="008036A0" w:rsidRPr="004A4B83" w:rsidRDefault="008036A0" w:rsidP="0038174C">
            <w:pPr>
              <w:spacing w:line="276" w:lineRule="auto"/>
              <w:jc w:val="right"/>
              <w:rPr>
                <w:color w:val="1F3864" w:themeColor="accent5" w:themeShade="80"/>
                <w:sz w:val="18"/>
                <w:szCs w:val="18"/>
              </w:rPr>
            </w:pPr>
            <w:r w:rsidRPr="004A4B83">
              <w:rPr>
                <w:color w:val="1F3864" w:themeColor="accent5" w:themeShade="80"/>
                <w:sz w:val="18"/>
                <w:szCs w:val="18"/>
              </w:rPr>
              <w:t>x</w:t>
            </w:r>
          </w:p>
        </w:tc>
        <w:tc>
          <w:tcPr>
            <w:tcW w:w="1417" w:type="dxa"/>
            <w:vAlign w:val="center"/>
          </w:tcPr>
          <w:p w14:paraId="163D2F0D" w14:textId="77777777" w:rsidR="008036A0" w:rsidRPr="004A4B83" w:rsidRDefault="008036A0" w:rsidP="0038174C">
            <w:pPr>
              <w:spacing w:line="276" w:lineRule="auto"/>
              <w:jc w:val="right"/>
              <w:rPr>
                <w:color w:val="1F3864" w:themeColor="accent5" w:themeShade="80"/>
                <w:sz w:val="18"/>
                <w:szCs w:val="18"/>
              </w:rPr>
            </w:pPr>
            <w:r w:rsidRPr="004A4B83">
              <w:rPr>
                <w:color w:val="1F3864" w:themeColor="accent5" w:themeShade="80"/>
                <w:sz w:val="18"/>
                <w:szCs w:val="18"/>
              </w:rPr>
              <w:t>OP, OK</w:t>
            </w:r>
          </w:p>
        </w:tc>
      </w:tr>
      <w:tr w:rsidR="008036A0" w:rsidRPr="00FF6A10" w14:paraId="78CF5A58" w14:textId="77777777" w:rsidTr="00200210">
        <w:tc>
          <w:tcPr>
            <w:tcW w:w="1305" w:type="dxa"/>
          </w:tcPr>
          <w:p w14:paraId="5123670B" w14:textId="77777777" w:rsidR="008036A0" w:rsidRPr="004A4B83" w:rsidRDefault="008036A0" w:rsidP="0038174C">
            <w:pPr>
              <w:spacing w:line="276" w:lineRule="auto"/>
              <w:rPr>
                <w:color w:val="833C0B" w:themeColor="accent2" w:themeShade="80"/>
                <w:sz w:val="18"/>
                <w:szCs w:val="18"/>
              </w:rPr>
            </w:pPr>
            <w:r w:rsidRPr="004A4B83">
              <w:rPr>
                <w:color w:val="833C0B" w:themeColor="accent2" w:themeShade="80"/>
                <w:sz w:val="18"/>
                <w:szCs w:val="18"/>
              </w:rPr>
              <w:t>Hrabušice</w:t>
            </w:r>
          </w:p>
        </w:tc>
        <w:tc>
          <w:tcPr>
            <w:tcW w:w="850" w:type="dxa"/>
            <w:vAlign w:val="center"/>
          </w:tcPr>
          <w:p w14:paraId="5634F241" w14:textId="77777777" w:rsidR="008036A0" w:rsidRPr="004A4B83" w:rsidRDefault="008036A0" w:rsidP="0038174C">
            <w:pPr>
              <w:spacing w:line="276" w:lineRule="auto"/>
              <w:jc w:val="center"/>
              <w:rPr>
                <w:color w:val="833C0B" w:themeColor="accent2" w:themeShade="80"/>
                <w:sz w:val="18"/>
                <w:szCs w:val="18"/>
              </w:rPr>
            </w:pPr>
            <w:r w:rsidRPr="004A4B83">
              <w:rPr>
                <w:color w:val="833C0B" w:themeColor="accent2" w:themeShade="80"/>
                <w:sz w:val="18"/>
                <w:szCs w:val="18"/>
              </w:rPr>
              <w:t>KSK, SN</w:t>
            </w:r>
          </w:p>
        </w:tc>
        <w:tc>
          <w:tcPr>
            <w:tcW w:w="993" w:type="dxa"/>
            <w:vAlign w:val="center"/>
          </w:tcPr>
          <w:p w14:paraId="483E789C" w14:textId="77777777"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2 416</w:t>
            </w:r>
          </w:p>
        </w:tc>
        <w:tc>
          <w:tcPr>
            <w:tcW w:w="850" w:type="dxa"/>
            <w:vAlign w:val="center"/>
          </w:tcPr>
          <w:p w14:paraId="1FA5E013" w14:textId="77777777"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2402 (-)</w:t>
            </w:r>
          </w:p>
        </w:tc>
        <w:tc>
          <w:tcPr>
            <w:tcW w:w="992" w:type="dxa"/>
          </w:tcPr>
          <w:p w14:paraId="5999D864" w14:textId="31080D66" w:rsidR="008036A0" w:rsidRPr="004A4B83" w:rsidRDefault="007543B3" w:rsidP="0038174C">
            <w:pPr>
              <w:spacing w:line="276" w:lineRule="auto"/>
              <w:jc w:val="right"/>
              <w:rPr>
                <w:color w:val="833C0B" w:themeColor="accent2" w:themeShade="80"/>
                <w:sz w:val="18"/>
                <w:szCs w:val="18"/>
              </w:rPr>
            </w:pPr>
            <w:r w:rsidRPr="004A4B83">
              <w:rPr>
                <w:color w:val="833C0B" w:themeColor="accent2" w:themeShade="80"/>
                <w:sz w:val="18"/>
                <w:szCs w:val="18"/>
              </w:rPr>
              <w:t>2486 (+)</w:t>
            </w:r>
          </w:p>
        </w:tc>
        <w:tc>
          <w:tcPr>
            <w:tcW w:w="709" w:type="dxa"/>
          </w:tcPr>
          <w:p w14:paraId="399205DB" w14:textId="5458469D"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40,88</w:t>
            </w:r>
          </w:p>
        </w:tc>
        <w:tc>
          <w:tcPr>
            <w:tcW w:w="1134" w:type="dxa"/>
            <w:vAlign w:val="bottom"/>
          </w:tcPr>
          <w:p w14:paraId="31F76AF1" w14:textId="77777777" w:rsidR="008036A0" w:rsidRPr="004A4B83" w:rsidRDefault="008036A0" w:rsidP="0038174C">
            <w:pPr>
              <w:spacing w:line="276" w:lineRule="auto"/>
              <w:jc w:val="right"/>
              <w:rPr>
                <w:rFonts w:cs="Arial"/>
                <w:color w:val="833C0B" w:themeColor="accent2" w:themeShade="80"/>
                <w:sz w:val="18"/>
                <w:szCs w:val="18"/>
              </w:rPr>
            </w:pPr>
            <w:r w:rsidRPr="004A4B83">
              <w:rPr>
                <w:rFonts w:cs="Arial"/>
                <w:color w:val="833C0B" w:themeColor="accent2" w:themeShade="80"/>
                <w:sz w:val="18"/>
                <w:szCs w:val="18"/>
              </w:rPr>
              <w:t>58,76</w:t>
            </w:r>
          </w:p>
        </w:tc>
        <w:tc>
          <w:tcPr>
            <w:tcW w:w="851" w:type="dxa"/>
            <w:vAlign w:val="center"/>
          </w:tcPr>
          <w:p w14:paraId="7BCE64DB" w14:textId="77777777"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30,6924</w:t>
            </w:r>
          </w:p>
        </w:tc>
        <w:tc>
          <w:tcPr>
            <w:tcW w:w="1417" w:type="dxa"/>
            <w:vAlign w:val="center"/>
          </w:tcPr>
          <w:p w14:paraId="38002670" w14:textId="77777777"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NP, OP, OK</w:t>
            </w:r>
          </w:p>
        </w:tc>
      </w:tr>
      <w:tr w:rsidR="008036A0" w:rsidRPr="00FF6A10" w14:paraId="510CE19B" w14:textId="77777777" w:rsidTr="00200210">
        <w:tc>
          <w:tcPr>
            <w:tcW w:w="1305" w:type="dxa"/>
          </w:tcPr>
          <w:p w14:paraId="45C9E2FF" w14:textId="77777777" w:rsidR="008036A0" w:rsidRPr="004A4B83" w:rsidRDefault="008036A0" w:rsidP="0038174C">
            <w:pPr>
              <w:spacing w:line="276" w:lineRule="auto"/>
              <w:rPr>
                <w:color w:val="833C0B" w:themeColor="accent2" w:themeShade="80"/>
                <w:sz w:val="18"/>
                <w:szCs w:val="18"/>
              </w:rPr>
            </w:pPr>
            <w:r w:rsidRPr="004A4B83">
              <w:rPr>
                <w:color w:val="833C0B" w:themeColor="accent2" w:themeShade="80"/>
                <w:sz w:val="18"/>
                <w:szCs w:val="18"/>
              </w:rPr>
              <w:t>Letanovce</w:t>
            </w:r>
          </w:p>
        </w:tc>
        <w:tc>
          <w:tcPr>
            <w:tcW w:w="850" w:type="dxa"/>
            <w:vAlign w:val="center"/>
          </w:tcPr>
          <w:p w14:paraId="6D162262" w14:textId="77777777" w:rsidR="008036A0" w:rsidRPr="004A4B83" w:rsidRDefault="008036A0" w:rsidP="0038174C">
            <w:pPr>
              <w:spacing w:line="276" w:lineRule="auto"/>
              <w:jc w:val="center"/>
              <w:rPr>
                <w:color w:val="833C0B" w:themeColor="accent2" w:themeShade="80"/>
                <w:sz w:val="18"/>
                <w:szCs w:val="18"/>
              </w:rPr>
            </w:pPr>
            <w:r w:rsidRPr="004A4B83">
              <w:rPr>
                <w:color w:val="833C0B" w:themeColor="accent2" w:themeShade="80"/>
                <w:sz w:val="18"/>
                <w:szCs w:val="18"/>
              </w:rPr>
              <w:t>KSK, SN</w:t>
            </w:r>
          </w:p>
        </w:tc>
        <w:tc>
          <w:tcPr>
            <w:tcW w:w="993" w:type="dxa"/>
            <w:vAlign w:val="center"/>
          </w:tcPr>
          <w:p w14:paraId="0531E9F7" w14:textId="77777777"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2 231</w:t>
            </w:r>
          </w:p>
        </w:tc>
        <w:tc>
          <w:tcPr>
            <w:tcW w:w="850" w:type="dxa"/>
            <w:vAlign w:val="center"/>
          </w:tcPr>
          <w:p w14:paraId="66E94C9E" w14:textId="77777777"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2244 (+)</w:t>
            </w:r>
          </w:p>
        </w:tc>
        <w:tc>
          <w:tcPr>
            <w:tcW w:w="992" w:type="dxa"/>
          </w:tcPr>
          <w:p w14:paraId="2B61E2DD" w14:textId="2CA6240A" w:rsidR="008036A0" w:rsidRPr="004A4B83" w:rsidRDefault="007543B3" w:rsidP="0038174C">
            <w:pPr>
              <w:spacing w:line="276" w:lineRule="auto"/>
              <w:jc w:val="right"/>
              <w:rPr>
                <w:color w:val="833C0B" w:themeColor="accent2" w:themeShade="80"/>
                <w:sz w:val="18"/>
                <w:szCs w:val="18"/>
              </w:rPr>
            </w:pPr>
            <w:r w:rsidRPr="004A4B83">
              <w:rPr>
                <w:color w:val="833C0B" w:themeColor="accent2" w:themeShade="80"/>
                <w:sz w:val="18"/>
                <w:szCs w:val="18"/>
              </w:rPr>
              <w:t>2293 (+)</w:t>
            </w:r>
          </w:p>
        </w:tc>
        <w:tc>
          <w:tcPr>
            <w:tcW w:w="709" w:type="dxa"/>
          </w:tcPr>
          <w:p w14:paraId="1F2D49D4" w14:textId="7E0F489E"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21,38</w:t>
            </w:r>
          </w:p>
        </w:tc>
        <w:tc>
          <w:tcPr>
            <w:tcW w:w="1134" w:type="dxa"/>
            <w:vAlign w:val="bottom"/>
          </w:tcPr>
          <w:p w14:paraId="27760A3B" w14:textId="77777777" w:rsidR="008036A0" w:rsidRPr="004A4B83" w:rsidRDefault="008036A0" w:rsidP="0038174C">
            <w:pPr>
              <w:spacing w:line="276" w:lineRule="auto"/>
              <w:jc w:val="right"/>
              <w:rPr>
                <w:rFonts w:cs="Arial"/>
                <w:color w:val="833C0B" w:themeColor="accent2" w:themeShade="80"/>
                <w:sz w:val="18"/>
                <w:szCs w:val="18"/>
              </w:rPr>
            </w:pPr>
            <w:r w:rsidRPr="004A4B83">
              <w:rPr>
                <w:rFonts w:cs="Arial"/>
                <w:color w:val="833C0B" w:themeColor="accent2" w:themeShade="80"/>
                <w:sz w:val="18"/>
                <w:szCs w:val="18"/>
              </w:rPr>
              <w:t>104,96</w:t>
            </w:r>
          </w:p>
        </w:tc>
        <w:tc>
          <w:tcPr>
            <w:tcW w:w="851" w:type="dxa"/>
            <w:vAlign w:val="center"/>
          </w:tcPr>
          <w:p w14:paraId="76734675" w14:textId="77777777"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11,4871</w:t>
            </w:r>
          </w:p>
        </w:tc>
        <w:tc>
          <w:tcPr>
            <w:tcW w:w="1417" w:type="dxa"/>
            <w:vAlign w:val="center"/>
          </w:tcPr>
          <w:p w14:paraId="3F62EC37" w14:textId="77777777"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NP, OP, OK</w:t>
            </w:r>
          </w:p>
        </w:tc>
      </w:tr>
      <w:tr w:rsidR="008036A0" w:rsidRPr="00FF6A10" w14:paraId="59BC29D8" w14:textId="77777777" w:rsidTr="00200210">
        <w:tc>
          <w:tcPr>
            <w:tcW w:w="1305" w:type="dxa"/>
          </w:tcPr>
          <w:p w14:paraId="7637D929" w14:textId="77777777" w:rsidR="008036A0" w:rsidRPr="004A4B83" w:rsidRDefault="008036A0" w:rsidP="0038174C">
            <w:pPr>
              <w:spacing w:line="276" w:lineRule="auto"/>
              <w:rPr>
                <w:color w:val="1F3864" w:themeColor="accent5" w:themeShade="80"/>
                <w:sz w:val="18"/>
                <w:szCs w:val="18"/>
              </w:rPr>
            </w:pPr>
            <w:r w:rsidRPr="004A4B83">
              <w:rPr>
                <w:color w:val="1F3864" w:themeColor="accent5" w:themeShade="80"/>
                <w:sz w:val="18"/>
                <w:szCs w:val="18"/>
              </w:rPr>
              <w:t>Mlynky</w:t>
            </w:r>
          </w:p>
        </w:tc>
        <w:tc>
          <w:tcPr>
            <w:tcW w:w="850" w:type="dxa"/>
            <w:vAlign w:val="center"/>
          </w:tcPr>
          <w:p w14:paraId="579302A3" w14:textId="77777777" w:rsidR="008036A0" w:rsidRPr="004A4B83" w:rsidRDefault="008036A0" w:rsidP="0038174C">
            <w:pPr>
              <w:spacing w:line="276" w:lineRule="auto"/>
              <w:jc w:val="center"/>
              <w:rPr>
                <w:color w:val="1F3864" w:themeColor="accent5" w:themeShade="80"/>
                <w:sz w:val="18"/>
                <w:szCs w:val="18"/>
              </w:rPr>
            </w:pPr>
            <w:r w:rsidRPr="004A4B83">
              <w:rPr>
                <w:color w:val="1F3864" w:themeColor="accent5" w:themeShade="80"/>
                <w:sz w:val="18"/>
                <w:szCs w:val="18"/>
              </w:rPr>
              <w:t>KSK, SN</w:t>
            </w:r>
          </w:p>
        </w:tc>
        <w:tc>
          <w:tcPr>
            <w:tcW w:w="993" w:type="dxa"/>
            <w:vAlign w:val="center"/>
          </w:tcPr>
          <w:p w14:paraId="3DD91416" w14:textId="77777777" w:rsidR="008036A0" w:rsidRPr="004A4B83" w:rsidRDefault="008036A0" w:rsidP="0038174C">
            <w:pPr>
              <w:spacing w:line="276" w:lineRule="auto"/>
              <w:jc w:val="right"/>
              <w:rPr>
                <w:color w:val="1F3864" w:themeColor="accent5" w:themeShade="80"/>
                <w:sz w:val="18"/>
                <w:szCs w:val="18"/>
              </w:rPr>
            </w:pPr>
            <w:r w:rsidRPr="004A4B83">
              <w:rPr>
                <w:color w:val="1F3864" w:themeColor="accent5" w:themeShade="80"/>
                <w:sz w:val="18"/>
                <w:szCs w:val="18"/>
              </w:rPr>
              <w:t>567</w:t>
            </w:r>
          </w:p>
        </w:tc>
        <w:tc>
          <w:tcPr>
            <w:tcW w:w="850" w:type="dxa"/>
            <w:vAlign w:val="center"/>
          </w:tcPr>
          <w:p w14:paraId="4BE466E9" w14:textId="77777777" w:rsidR="008036A0" w:rsidRPr="004A4B83" w:rsidRDefault="008036A0" w:rsidP="0038174C">
            <w:pPr>
              <w:spacing w:line="276" w:lineRule="auto"/>
              <w:jc w:val="right"/>
              <w:rPr>
                <w:color w:val="1F3864" w:themeColor="accent5" w:themeShade="80"/>
                <w:sz w:val="18"/>
                <w:szCs w:val="18"/>
              </w:rPr>
            </w:pPr>
            <w:r w:rsidRPr="004A4B83">
              <w:rPr>
                <w:color w:val="1F3864" w:themeColor="accent5" w:themeShade="80"/>
                <w:sz w:val="18"/>
                <w:szCs w:val="18"/>
              </w:rPr>
              <w:t>563 (-)</w:t>
            </w:r>
          </w:p>
        </w:tc>
        <w:tc>
          <w:tcPr>
            <w:tcW w:w="992" w:type="dxa"/>
          </w:tcPr>
          <w:p w14:paraId="3EED2B70" w14:textId="09748219" w:rsidR="008036A0" w:rsidRPr="004A4B83" w:rsidRDefault="007543B3" w:rsidP="0038174C">
            <w:pPr>
              <w:spacing w:line="276" w:lineRule="auto"/>
              <w:jc w:val="right"/>
              <w:rPr>
                <w:color w:val="1F3864" w:themeColor="accent5" w:themeShade="80"/>
                <w:sz w:val="18"/>
                <w:szCs w:val="18"/>
              </w:rPr>
            </w:pPr>
            <w:r w:rsidRPr="004A4B83">
              <w:rPr>
                <w:color w:val="1F3864" w:themeColor="accent5" w:themeShade="80"/>
                <w:sz w:val="18"/>
                <w:szCs w:val="18"/>
              </w:rPr>
              <w:t>554 (-)</w:t>
            </w:r>
          </w:p>
        </w:tc>
        <w:tc>
          <w:tcPr>
            <w:tcW w:w="709" w:type="dxa"/>
          </w:tcPr>
          <w:p w14:paraId="144CC719" w14:textId="65490FB9" w:rsidR="008036A0" w:rsidRPr="004A4B83" w:rsidRDefault="008036A0" w:rsidP="0038174C">
            <w:pPr>
              <w:spacing w:line="276" w:lineRule="auto"/>
              <w:jc w:val="right"/>
              <w:rPr>
                <w:color w:val="1F3864" w:themeColor="accent5" w:themeShade="80"/>
                <w:sz w:val="18"/>
                <w:szCs w:val="18"/>
              </w:rPr>
            </w:pPr>
            <w:r w:rsidRPr="004A4B83">
              <w:rPr>
                <w:color w:val="1F3864" w:themeColor="accent5" w:themeShade="80"/>
                <w:sz w:val="18"/>
                <w:szCs w:val="18"/>
              </w:rPr>
              <w:t>25,00</w:t>
            </w:r>
          </w:p>
        </w:tc>
        <w:tc>
          <w:tcPr>
            <w:tcW w:w="1134" w:type="dxa"/>
            <w:vAlign w:val="bottom"/>
          </w:tcPr>
          <w:p w14:paraId="607EC460" w14:textId="77777777" w:rsidR="008036A0" w:rsidRPr="004A4B83" w:rsidRDefault="008036A0" w:rsidP="0038174C">
            <w:pPr>
              <w:spacing w:line="276" w:lineRule="auto"/>
              <w:jc w:val="right"/>
              <w:rPr>
                <w:rFonts w:cs="Arial"/>
                <w:color w:val="1F3864" w:themeColor="accent5" w:themeShade="80"/>
                <w:sz w:val="18"/>
                <w:szCs w:val="18"/>
              </w:rPr>
            </w:pPr>
            <w:r w:rsidRPr="004A4B83">
              <w:rPr>
                <w:rFonts w:cs="Arial"/>
                <w:color w:val="1F3864" w:themeColor="accent5" w:themeShade="80"/>
                <w:sz w:val="18"/>
                <w:szCs w:val="18"/>
              </w:rPr>
              <w:t>22,52</w:t>
            </w:r>
          </w:p>
        </w:tc>
        <w:tc>
          <w:tcPr>
            <w:tcW w:w="851" w:type="dxa"/>
            <w:vAlign w:val="center"/>
          </w:tcPr>
          <w:p w14:paraId="7A407CD9" w14:textId="77777777" w:rsidR="008036A0" w:rsidRPr="004A4B83" w:rsidRDefault="008036A0" w:rsidP="0038174C">
            <w:pPr>
              <w:spacing w:line="276" w:lineRule="auto"/>
              <w:jc w:val="right"/>
              <w:rPr>
                <w:color w:val="1F3864" w:themeColor="accent5" w:themeShade="80"/>
                <w:sz w:val="18"/>
                <w:szCs w:val="18"/>
              </w:rPr>
            </w:pPr>
            <w:r w:rsidRPr="004A4B83">
              <w:rPr>
                <w:color w:val="1F3864" w:themeColor="accent5" w:themeShade="80"/>
                <w:sz w:val="18"/>
                <w:szCs w:val="18"/>
              </w:rPr>
              <w:t>1,0988</w:t>
            </w:r>
          </w:p>
        </w:tc>
        <w:tc>
          <w:tcPr>
            <w:tcW w:w="1417" w:type="dxa"/>
            <w:vAlign w:val="center"/>
          </w:tcPr>
          <w:p w14:paraId="17029934" w14:textId="77777777" w:rsidR="008036A0" w:rsidRPr="004A4B83" w:rsidRDefault="008036A0" w:rsidP="0038174C">
            <w:pPr>
              <w:spacing w:line="276" w:lineRule="auto"/>
              <w:jc w:val="right"/>
              <w:rPr>
                <w:color w:val="1F3864" w:themeColor="accent5" w:themeShade="80"/>
                <w:sz w:val="18"/>
                <w:szCs w:val="18"/>
              </w:rPr>
            </w:pPr>
            <w:r w:rsidRPr="004A4B83">
              <w:rPr>
                <w:color w:val="1F3864" w:themeColor="accent5" w:themeShade="80"/>
                <w:sz w:val="18"/>
                <w:szCs w:val="18"/>
              </w:rPr>
              <w:t>NP, OP, OK</w:t>
            </w:r>
          </w:p>
        </w:tc>
      </w:tr>
      <w:tr w:rsidR="008036A0" w:rsidRPr="00FF6A10" w14:paraId="67DA8208" w14:textId="77777777" w:rsidTr="00200210">
        <w:tc>
          <w:tcPr>
            <w:tcW w:w="1305" w:type="dxa"/>
          </w:tcPr>
          <w:p w14:paraId="229E2806" w14:textId="77777777" w:rsidR="008036A0" w:rsidRPr="004A4B83" w:rsidRDefault="008036A0" w:rsidP="0038174C">
            <w:pPr>
              <w:spacing w:line="276" w:lineRule="auto"/>
              <w:rPr>
                <w:color w:val="833C0B" w:themeColor="accent2" w:themeShade="80"/>
                <w:sz w:val="18"/>
                <w:szCs w:val="18"/>
              </w:rPr>
            </w:pPr>
            <w:r w:rsidRPr="004A4B83">
              <w:rPr>
                <w:color w:val="833C0B" w:themeColor="accent2" w:themeShade="80"/>
                <w:sz w:val="18"/>
                <w:szCs w:val="18"/>
              </w:rPr>
              <w:t>Smižany</w:t>
            </w:r>
          </w:p>
        </w:tc>
        <w:tc>
          <w:tcPr>
            <w:tcW w:w="850" w:type="dxa"/>
            <w:vAlign w:val="center"/>
          </w:tcPr>
          <w:p w14:paraId="28723EE1" w14:textId="77777777" w:rsidR="008036A0" w:rsidRPr="004A4B83" w:rsidRDefault="008036A0" w:rsidP="0038174C">
            <w:pPr>
              <w:spacing w:line="276" w:lineRule="auto"/>
              <w:jc w:val="center"/>
              <w:rPr>
                <w:color w:val="833C0B" w:themeColor="accent2" w:themeShade="80"/>
                <w:sz w:val="18"/>
                <w:szCs w:val="18"/>
              </w:rPr>
            </w:pPr>
            <w:r w:rsidRPr="004A4B83">
              <w:rPr>
                <w:color w:val="833C0B" w:themeColor="accent2" w:themeShade="80"/>
                <w:sz w:val="18"/>
                <w:szCs w:val="18"/>
              </w:rPr>
              <w:t>KSK, SN</w:t>
            </w:r>
          </w:p>
        </w:tc>
        <w:tc>
          <w:tcPr>
            <w:tcW w:w="993" w:type="dxa"/>
            <w:vAlign w:val="center"/>
          </w:tcPr>
          <w:p w14:paraId="41E30944" w14:textId="77777777"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8 735</w:t>
            </w:r>
          </w:p>
        </w:tc>
        <w:tc>
          <w:tcPr>
            <w:tcW w:w="850" w:type="dxa"/>
            <w:vAlign w:val="center"/>
          </w:tcPr>
          <w:p w14:paraId="3DE75324" w14:textId="77777777"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8636 (-)</w:t>
            </w:r>
          </w:p>
        </w:tc>
        <w:tc>
          <w:tcPr>
            <w:tcW w:w="992" w:type="dxa"/>
          </w:tcPr>
          <w:p w14:paraId="6D998FBC" w14:textId="500ABBEE" w:rsidR="008036A0" w:rsidRPr="004A4B83" w:rsidRDefault="007543B3" w:rsidP="0038174C">
            <w:pPr>
              <w:spacing w:line="276" w:lineRule="auto"/>
              <w:jc w:val="right"/>
              <w:rPr>
                <w:color w:val="833C0B" w:themeColor="accent2" w:themeShade="80"/>
                <w:sz w:val="18"/>
                <w:szCs w:val="18"/>
              </w:rPr>
            </w:pPr>
            <w:r w:rsidRPr="004A4B83">
              <w:rPr>
                <w:color w:val="833C0B" w:themeColor="accent2" w:themeShade="80"/>
                <w:sz w:val="18"/>
                <w:szCs w:val="18"/>
              </w:rPr>
              <w:t>8674 (+)</w:t>
            </w:r>
          </w:p>
        </w:tc>
        <w:tc>
          <w:tcPr>
            <w:tcW w:w="709" w:type="dxa"/>
          </w:tcPr>
          <w:p w14:paraId="6E6D52F5" w14:textId="2BA82B80"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45,70</w:t>
            </w:r>
          </w:p>
        </w:tc>
        <w:tc>
          <w:tcPr>
            <w:tcW w:w="1134" w:type="dxa"/>
            <w:vAlign w:val="bottom"/>
          </w:tcPr>
          <w:p w14:paraId="73147AC2" w14:textId="77777777" w:rsidR="008036A0" w:rsidRPr="004A4B83" w:rsidRDefault="008036A0" w:rsidP="0038174C">
            <w:pPr>
              <w:spacing w:line="276" w:lineRule="auto"/>
              <w:jc w:val="right"/>
              <w:rPr>
                <w:rFonts w:cs="Arial"/>
                <w:color w:val="833C0B" w:themeColor="accent2" w:themeShade="80"/>
                <w:sz w:val="18"/>
                <w:szCs w:val="18"/>
              </w:rPr>
            </w:pPr>
            <w:r w:rsidRPr="004A4B83">
              <w:rPr>
                <w:rFonts w:cs="Arial"/>
                <w:color w:val="833C0B" w:themeColor="accent2" w:themeShade="80"/>
                <w:sz w:val="18"/>
                <w:szCs w:val="18"/>
              </w:rPr>
              <w:t>188,97</w:t>
            </w:r>
          </w:p>
        </w:tc>
        <w:tc>
          <w:tcPr>
            <w:tcW w:w="851" w:type="dxa"/>
            <w:vAlign w:val="center"/>
          </w:tcPr>
          <w:p w14:paraId="73B66B1F" w14:textId="77777777"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30,3326</w:t>
            </w:r>
          </w:p>
        </w:tc>
        <w:tc>
          <w:tcPr>
            <w:tcW w:w="1417" w:type="dxa"/>
            <w:vAlign w:val="center"/>
          </w:tcPr>
          <w:p w14:paraId="38386DD6" w14:textId="77777777"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NP, OP, OK</w:t>
            </w:r>
          </w:p>
        </w:tc>
      </w:tr>
      <w:tr w:rsidR="008036A0" w:rsidRPr="00FF6A10" w14:paraId="2E7F6158" w14:textId="77777777" w:rsidTr="00200210">
        <w:tc>
          <w:tcPr>
            <w:tcW w:w="1305" w:type="dxa"/>
          </w:tcPr>
          <w:p w14:paraId="44BB5E33" w14:textId="77777777" w:rsidR="008036A0" w:rsidRPr="004A4B83" w:rsidRDefault="008036A0" w:rsidP="0038174C">
            <w:pPr>
              <w:spacing w:line="276" w:lineRule="auto"/>
              <w:rPr>
                <w:color w:val="833C0B" w:themeColor="accent2" w:themeShade="80"/>
                <w:sz w:val="18"/>
                <w:szCs w:val="18"/>
              </w:rPr>
            </w:pPr>
            <w:r w:rsidRPr="004A4B83">
              <w:rPr>
                <w:color w:val="833C0B" w:themeColor="accent2" w:themeShade="80"/>
                <w:sz w:val="18"/>
                <w:szCs w:val="18"/>
              </w:rPr>
              <w:t>Spišské Tomášovce</w:t>
            </w:r>
          </w:p>
        </w:tc>
        <w:tc>
          <w:tcPr>
            <w:tcW w:w="850" w:type="dxa"/>
            <w:vAlign w:val="center"/>
          </w:tcPr>
          <w:p w14:paraId="63199694" w14:textId="77777777" w:rsidR="008036A0" w:rsidRPr="004A4B83" w:rsidRDefault="008036A0" w:rsidP="0038174C">
            <w:pPr>
              <w:spacing w:line="276" w:lineRule="auto"/>
              <w:jc w:val="center"/>
              <w:rPr>
                <w:color w:val="833C0B" w:themeColor="accent2" w:themeShade="80"/>
                <w:sz w:val="18"/>
                <w:szCs w:val="18"/>
              </w:rPr>
            </w:pPr>
            <w:r w:rsidRPr="004A4B83">
              <w:rPr>
                <w:color w:val="833C0B" w:themeColor="accent2" w:themeShade="80"/>
                <w:sz w:val="18"/>
                <w:szCs w:val="18"/>
              </w:rPr>
              <w:t>KSK, SN</w:t>
            </w:r>
          </w:p>
        </w:tc>
        <w:tc>
          <w:tcPr>
            <w:tcW w:w="993" w:type="dxa"/>
            <w:vAlign w:val="center"/>
          </w:tcPr>
          <w:p w14:paraId="67B2939D" w14:textId="77777777"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1 795</w:t>
            </w:r>
          </w:p>
        </w:tc>
        <w:tc>
          <w:tcPr>
            <w:tcW w:w="850" w:type="dxa"/>
            <w:vAlign w:val="center"/>
          </w:tcPr>
          <w:p w14:paraId="48D5E4CC" w14:textId="77777777"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1854 (+)</w:t>
            </w:r>
          </w:p>
        </w:tc>
        <w:tc>
          <w:tcPr>
            <w:tcW w:w="992" w:type="dxa"/>
          </w:tcPr>
          <w:p w14:paraId="3048DFB3" w14:textId="2D32B966" w:rsidR="008036A0" w:rsidRPr="004A4B83" w:rsidRDefault="007543B3" w:rsidP="0038174C">
            <w:pPr>
              <w:spacing w:line="276" w:lineRule="auto"/>
              <w:jc w:val="right"/>
              <w:rPr>
                <w:color w:val="833C0B" w:themeColor="accent2" w:themeShade="80"/>
                <w:sz w:val="18"/>
                <w:szCs w:val="18"/>
              </w:rPr>
            </w:pPr>
            <w:r w:rsidRPr="004A4B83">
              <w:rPr>
                <w:color w:val="833C0B" w:themeColor="accent2" w:themeShade="80"/>
                <w:sz w:val="18"/>
                <w:szCs w:val="18"/>
              </w:rPr>
              <w:t>1986 (+)</w:t>
            </w:r>
          </w:p>
        </w:tc>
        <w:tc>
          <w:tcPr>
            <w:tcW w:w="709" w:type="dxa"/>
            <w:vAlign w:val="center"/>
          </w:tcPr>
          <w:p w14:paraId="50B73C20" w14:textId="372C0F04"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12,29</w:t>
            </w:r>
          </w:p>
        </w:tc>
        <w:tc>
          <w:tcPr>
            <w:tcW w:w="1134" w:type="dxa"/>
            <w:vAlign w:val="bottom"/>
          </w:tcPr>
          <w:p w14:paraId="208A858C" w14:textId="77777777" w:rsidR="008036A0" w:rsidRPr="004A4B83" w:rsidRDefault="008036A0" w:rsidP="0038174C">
            <w:pPr>
              <w:spacing w:line="276" w:lineRule="auto"/>
              <w:jc w:val="right"/>
              <w:rPr>
                <w:rFonts w:cs="Arial"/>
                <w:color w:val="833C0B" w:themeColor="accent2" w:themeShade="80"/>
                <w:sz w:val="18"/>
                <w:szCs w:val="18"/>
              </w:rPr>
            </w:pPr>
            <w:r w:rsidRPr="004A4B83">
              <w:rPr>
                <w:rFonts w:cs="Arial"/>
                <w:color w:val="833C0B" w:themeColor="accent2" w:themeShade="80"/>
                <w:sz w:val="18"/>
                <w:szCs w:val="18"/>
              </w:rPr>
              <w:t>150,85</w:t>
            </w:r>
          </w:p>
        </w:tc>
        <w:tc>
          <w:tcPr>
            <w:tcW w:w="851" w:type="dxa"/>
            <w:vAlign w:val="center"/>
          </w:tcPr>
          <w:p w14:paraId="7D32113D" w14:textId="77777777"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6,8155</w:t>
            </w:r>
          </w:p>
        </w:tc>
        <w:tc>
          <w:tcPr>
            <w:tcW w:w="1417" w:type="dxa"/>
            <w:vAlign w:val="center"/>
          </w:tcPr>
          <w:p w14:paraId="04CC5902" w14:textId="77777777"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NP, OP, OK</w:t>
            </w:r>
          </w:p>
        </w:tc>
      </w:tr>
      <w:tr w:rsidR="008036A0" w:rsidRPr="00FF6A10" w14:paraId="58D60B73" w14:textId="77777777" w:rsidTr="00200210">
        <w:tc>
          <w:tcPr>
            <w:tcW w:w="1305" w:type="dxa"/>
          </w:tcPr>
          <w:p w14:paraId="67C6289C" w14:textId="77777777" w:rsidR="008036A0" w:rsidRPr="004A4B83" w:rsidRDefault="008036A0" w:rsidP="0038174C">
            <w:pPr>
              <w:spacing w:line="276" w:lineRule="auto"/>
              <w:rPr>
                <w:color w:val="1F3864" w:themeColor="accent5" w:themeShade="80"/>
                <w:sz w:val="18"/>
                <w:szCs w:val="18"/>
              </w:rPr>
            </w:pPr>
            <w:r w:rsidRPr="004A4B83">
              <w:rPr>
                <w:color w:val="1F3864" w:themeColor="accent5" w:themeShade="80"/>
                <w:sz w:val="18"/>
                <w:szCs w:val="18"/>
              </w:rPr>
              <w:t>Dedinky</w:t>
            </w:r>
          </w:p>
        </w:tc>
        <w:tc>
          <w:tcPr>
            <w:tcW w:w="850" w:type="dxa"/>
            <w:vAlign w:val="center"/>
          </w:tcPr>
          <w:p w14:paraId="3810D8FD" w14:textId="77777777" w:rsidR="008036A0" w:rsidRPr="004A4B83" w:rsidRDefault="008036A0" w:rsidP="0038174C">
            <w:pPr>
              <w:spacing w:line="276" w:lineRule="auto"/>
              <w:jc w:val="center"/>
              <w:rPr>
                <w:color w:val="1F3864" w:themeColor="accent5" w:themeShade="80"/>
                <w:sz w:val="18"/>
                <w:szCs w:val="18"/>
              </w:rPr>
            </w:pPr>
            <w:r w:rsidRPr="004A4B83">
              <w:rPr>
                <w:color w:val="1F3864" w:themeColor="accent5" w:themeShade="80"/>
                <w:sz w:val="18"/>
                <w:szCs w:val="18"/>
              </w:rPr>
              <w:t>KSK, RV</w:t>
            </w:r>
          </w:p>
        </w:tc>
        <w:tc>
          <w:tcPr>
            <w:tcW w:w="993" w:type="dxa"/>
            <w:vAlign w:val="center"/>
          </w:tcPr>
          <w:p w14:paraId="79614676" w14:textId="77777777" w:rsidR="008036A0" w:rsidRPr="004A4B83" w:rsidRDefault="008036A0" w:rsidP="0038174C">
            <w:pPr>
              <w:spacing w:line="276" w:lineRule="auto"/>
              <w:jc w:val="right"/>
              <w:rPr>
                <w:color w:val="1F3864" w:themeColor="accent5" w:themeShade="80"/>
                <w:sz w:val="18"/>
                <w:szCs w:val="18"/>
              </w:rPr>
            </w:pPr>
            <w:r w:rsidRPr="004A4B83">
              <w:rPr>
                <w:color w:val="1F3864" w:themeColor="accent5" w:themeShade="80"/>
                <w:sz w:val="18"/>
                <w:szCs w:val="18"/>
              </w:rPr>
              <w:t>283</w:t>
            </w:r>
          </w:p>
        </w:tc>
        <w:tc>
          <w:tcPr>
            <w:tcW w:w="850" w:type="dxa"/>
            <w:vAlign w:val="center"/>
          </w:tcPr>
          <w:p w14:paraId="23D913EE" w14:textId="77777777" w:rsidR="008036A0" w:rsidRPr="004A4B83" w:rsidRDefault="008036A0" w:rsidP="0038174C">
            <w:pPr>
              <w:spacing w:line="276" w:lineRule="auto"/>
              <w:jc w:val="right"/>
              <w:rPr>
                <w:color w:val="1F3864" w:themeColor="accent5" w:themeShade="80"/>
                <w:sz w:val="18"/>
                <w:szCs w:val="18"/>
              </w:rPr>
            </w:pPr>
            <w:r w:rsidRPr="004A4B83">
              <w:rPr>
                <w:color w:val="1F3864" w:themeColor="accent5" w:themeShade="80"/>
                <w:sz w:val="18"/>
                <w:szCs w:val="18"/>
              </w:rPr>
              <w:t>278 (-)</w:t>
            </w:r>
          </w:p>
        </w:tc>
        <w:tc>
          <w:tcPr>
            <w:tcW w:w="992" w:type="dxa"/>
          </w:tcPr>
          <w:p w14:paraId="71D75661" w14:textId="5BA4AFAC" w:rsidR="008036A0" w:rsidRPr="004A4B83" w:rsidRDefault="007543B3" w:rsidP="0038174C">
            <w:pPr>
              <w:spacing w:line="276" w:lineRule="auto"/>
              <w:jc w:val="right"/>
              <w:rPr>
                <w:color w:val="1F3864" w:themeColor="accent5" w:themeShade="80"/>
                <w:sz w:val="18"/>
                <w:szCs w:val="18"/>
              </w:rPr>
            </w:pPr>
            <w:r w:rsidRPr="004A4B83">
              <w:rPr>
                <w:color w:val="1F3864" w:themeColor="accent5" w:themeShade="80"/>
                <w:sz w:val="18"/>
                <w:szCs w:val="18"/>
              </w:rPr>
              <w:t>257 (-)</w:t>
            </w:r>
          </w:p>
        </w:tc>
        <w:tc>
          <w:tcPr>
            <w:tcW w:w="709" w:type="dxa"/>
          </w:tcPr>
          <w:p w14:paraId="59DE5D10" w14:textId="76BAA84C" w:rsidR="008036A0" w:rsidRPr="004A4B83" w:rsidRDefault="008036A0" w:rsidP="0038174C">
            <w:pPr>
              <w:spacing w:line="276" w:lineRule="auto"/>
              <w:jc w:val="right"/>
              <w:rPr>
                <w:color w:val="1F3864" w:themeColor="accent5" w:themeShade="80"/>
                <w:sz w:val="18"/>
                <w:szCs w:val="18"/>
              </w:rPr>
            </w:pPr>
            <w:r w:rsidRPr="004A4B83">
              <w:rPr>
                <w:color w:val="1F3864" w:themeColor="accent5" w:themeShade="80"/>
                <w:sz w:val="18"/>
                <w:szCs w:val="18"/>
              </w:rPr>
              <w:t>3,64</w:t>
            </w:r>
          </w:p>
        </w:tc>
        <w:tc>
          <w:tcPr>
            <w:tcW w:w="1134" w:type="dxa"/>
            <w:vAlign w:val="bottom"/>
          </w:tcPr>
          <w:p w14:paraId="42A51337" w14:textId="77777777" w:rsidR="008036A0" w:rsidRPr="004A4B83" w:rsidRDefault="008036A0" w:rsidP="0038174C">
            <w:pPr>
              <w:spacing w:line="276" w:lineRule="auto"/>
              <w:jc w:val="right"/>
              <w:rPr>
                <w:rFonts w:cs="Arial"/>
                <w:color w:val="1F3864" w:themeColor="accent5" w:themeShade="80"/>
                <w:sz w:val="18"/>
                <w:szCs w:val="18"/>
              </w:rPr>
            </w:pPr>
            <w:r w:rsidRPr="004A4B83">
              <w:rPr>
                <w:rFonts w:cs="Arial"/>
                <w:color w:val="1F3864" w:themeColor="accent5" w:themeShade="80"/>
                <w:sz w:val="18"/>
                <w:szCs w:val="18"/>
              </w:rPr>
              <w:t>76,37</w:t>
            </w:r>
          </w:p>
        </w:tc>
        <w:tc>
          <w:tcPr>
            <w:tcW w:w="851" w:type="dxa"/>
            <w:vAlign w:val="center"/>
          </w:tcPr>
          <w:p w14:paraId="51DF0E1B" w14:textId="77777777" w:rsidR="008036A0" w:rsidRPr="004A4B83" w:rsidRDefault="008036A0" w:rsidP="0038174C">
            <w:pPr>
              <w:spacing w:line="276" w:lineRule="auto"/>
              <w:jc w:val="right"/>
              <w:rPr>
                <w:color w:val="1F3864" w:themeColor="accent5" w:themeShade="80"/>
                <w:sz w:val="18"/>
                <w:szCs w:val="18"/>
              </w:rPr>
            </w:pPr>
            <w:r w:rsidRPr="004A4B83">
              <w:rPr>
                <w:color w:val="1F3864" w:themeColor="accent5" w:themeShade="80"/>
                <w:sz w:val="18"/>
                <w:szCs w:val="18"/>
              </w:rPr>
              <w:t>3,4486</w:t>
            </w:r>
          </w:p>
        </w:tc>
        <w:tc>
          <w:tcPr>
            <w:tcW w:w="1417" w:type="dxa"/>
            <w:vAlign w:val="center"/>
          </w:tcPr>
          <w:p w14:paraId="752CF593" w14:textId="77777777" w:rsidR="008036A0" w:rsidRPr="004A4B83" w:rsidRDefault="008036A0" w:rsidP="0038174C">
            <w:pPr>
              <w:spacing w:line="276" w:lineRule="auto"/>
              <w:jc w:val="right"/>
              <w:rPr>
                <w:color w:val="1F3864" w:themeColor="accent5" w:themeShade="80"/>
                <w:sz w:val="18"/>
                <w:szCs w:val="18"/>
              </w:rPr>
            </w:pPr>
            <w:r w:rsidRPr="004A4B83">
              <w:rPr>
                <w:color w:val="1F3864" w:themeColor="accent5" w:themeShade="80"/>
                <w:sz w:val="18"/>
                <w:szCs w:val="18"/>
              </w:rPr>
              <w:t>NP, OP</w:t>
            </w:r>
          </w:p>
        </w:tc>
      </w:tr>
      <w:tr w:rsidR="008036A0" w:rsidRPr="00FF6A10" w14:paraId="2D091335" w14:textId="77777777" w:rsidTr="00200210">
        <w:tc>
          <w:tcPr>
            <w:tcW w:w="1305" w:type="dxa"/>
          </w:tcPr>
          <w:p w14:paraId="26822F25" w14:textId="77777777" w:rsidR="008036A0" w:rsidRPr="004A4B83" w:rsidRDefault="008036A0" w:rsidP="0038174C">
            <w:pPr>
              <w:spacing w:line="276" w:lineRule="auto"/>
              <w:rPr>
                <w:color w:val="1F3864" w:themeColor="accent5" w:themeShade="80"/>
                <w:sz w:val="18"/>
                <w:szCs w:val="18"/>
              </w:rPr>
            </w:pPr>
            <w:r w:rsidRPr="004A4B83">
              <w:rPr>
                <w:color w:val="1F3864" w:themeColor="accent5" w:themeShade="80"/>
                <w:sz w:val="18"/>
                <w:szCs w:val="18"/>
              </w:rPr>
              <w:lastRenderedPageBreak/>
              <w:t>Dobšiná</w:t>
            </w:r>
          </w:p>
        </w:tc>
        <w:tc>
          <w:tcPr>
            <w:tcW w:w="850" w:type="dxa"/>
            <w:vAlign w:val="center"/>
          </w:tcPr>
          <w:p w14:paraId="6B575549" w14:textId="77777777" w:rsidR="008036A0" w:rsidRPr="004A4B83" w:rsidRDefault="008036A0" w:rsidP="0038174C">
            <w:pPr>
              <w:spacing w:line="276" w:lineRule="auto"/>
              <w:jc w:val="center"/>
              <w:rPr>
                <w:color w:val="1F3864" w:themeColor="accent5" w:themeShade="80"/>
                <w:sz w:val="18"/>
                <w:szCs w:val="18"/>
              </w:rPr>
            </w:pPr>
            <w:r w:rsidRPr="004A4B83">
              <w:rPr>
                <w:color w:val="1F3864" w:themeColor="accent5" w:themeShade="80"/>
                <w:sz w:val="18"/>
                <w:szCs w:val="18"/>
              </w:rPr>
              <w:t>KSK, RV</w:t>
            </w:r>
          </w:p>
        </w:tc>
        <w:tc>
          <w:tcPr>
            <w:tcW w:w="993" w:type="dxa"/>
            <w:vAlign w:val="center"/>
          </w:tcPr>
          <w:p w14:paraId="106FD03A" w14:textId="77777777" w:rsidR="008036A0" w:rsidRPr="004A4B83" w:rsidRDefault="008036A0" w:rsidP="0038174C">
            <w:pPr>
              <w:spacing w:line="276" w:lineRule="auto"/>
              <w:jc w:val="right"/>
              <w:rPr>
                <w:color w:val="1F3864" w:themeColor="accent5" w:themeShade="80"/>
                <w:sz w:val="18"/>
                <w:szCs w:val="18"/>
              </w:rPr>
            </w:pPr>
            <w:r w:rsidRPr="004A4B83">
              <w:rPr>
                <w:color w:val="1F3864" w:themeColor="accent5" w:themeShade="80"/>
                <w:sz w:val="18"/>
                <w:szCs w:val="18"/>
              </w:rPr>
              <w:t>5 684</w:t>
            </w:r>
          </w:p>
        </w:tc>
        <w:tc>
          <w:tcPr>
            <w:tcW w:w="850" w:type="dxa"/>
            <w:vAlign w:val="center"/>
          </w:tcPr>
          <w:p w14:paraId="2C93FA8B" w14:textId="77777777" w:rsidR="008036A0" w:rsidRPr="004A4B83" w:rsidRDefault="008036A0" w:rsidP="0038174C">
            <w:pPr>
              <w:spacing w:line="276" w:lineRule="auto"/>
              <w:jc w:val="right"/>
              <w:rPr>
                <w:color w:val="1F3864" w:themeColor="accent5" w:themeShade="80"/>
                <w:sz w:val="18"/>
                <w:szCs w:val="18"/>
              </w:rPr>
            </w:pPr>
            <w:r w:rsidRPr="004A4B83">
              <w:rPr>
                <w:color w:val="1F3864" w:themeColor="accent5" w:themeShade="80"/>
                <w:sz w:val="18"/>
                <w:szCs w:val="18"/>
              </w:rPr>
              <w:t xml:space="preserve">5685(-) </w:t>
            </w:r>
          </w:p>
        </w:tc>
        <w:tc>
          <w:tcPr>
            <w:tcW w:w="992" w:type="dxa"/>
          </w:tcPr>
          <w:p w14:paraId="10195668" w14:textId="68E3B17D" w:rsidR="008036A0" w:rsidRPr="004A4B83" w:rsidRDefault="007543B3" w:rsidP="0038174C">
            <w:pPr>
              <w:spacing w:line="276" w:lineRule="auto"/>
              <w:jc w:val="right"/>
              <w:rPr>
                <w:color w:val="1F3864" w:themeColor="accent5" w:themeShade="80"/>
                <w:sz w:val="18"/>
                <w:szCs w:val="18"/>
              </w:rPr>
            </w:pPr>
            <w:r w:rsidRPr="004A4B83">
              <w:rPr>
                <w:color w:val="1F3864" w:themeColor="accent5" w:themeShade="80"/>
                <w:sz w:val="18"/>
                <w:szCs w:val="18"/>
              </w:rPr>
              <w:t>5657 (-)</w:t>
            </w:r>
          </w:p>
        </w:tc>
        <w:tc>
          <w:tcPr>
            <w:tcW w:w="709" w:type="dxa"/>
          </w:tcPr>
          <w:p w14:paraId="43FF662F" w14:textId="6D19C14B" w:rsidR="008036A0" w:rsidRPr="004A4B83" w:rsidRDefault="008036A0" w:rsidP="0038174C">
            <w:pPr>
              <w:spacing w:line="276" w:lineRule="auto"/>
              <w:jc w:val="right"/>
              <w:rPr>
                <w:color w:val="1F3864" w:themeColor="accent5" w:themeShade="80"/>
                <w:sz w:val="18"/>
                <w:szCs w:val="18"/>
              </w:rPr>
            </w:pPr>
            <w:r w:rsidRPr="004A4B83">
              <w:rPr>
                <w:color w:val="1F3864" w:themeColor="accent5" w:themeShade="80"/>
                <w:sz w:val="18"/>
                <w:szCs w:val="18"/>
              </w:rPr>
              <w:t>82,72</w:t>
            </w:r>
          </w:p>
        </w:tc>
        <w:tc>
          <w:tcPr>
            <w:tcW w:w="1134" w:type="dxa"/>
            <w:vAlign w:val="bottom"/>
          </w:tcPr>
          <w:p w14:paraId="3800020D" w14:textId="77777777" w:rsidR="008036A0" w:rsidRPr="004A4B83" w:rsidRDefault="008036A0" w:rsidP="0038174C">
            <w:pPr>
              <w:spacing w:line="276" w:lineRule="auto"/>
              <w:jc w:val="right"/>
              <w:rPr>
                <w:rFonts w:cs="Arial"/>
                <w:color w:val="1F3864" w:themeColor="accent5" w:themeShade="80"/>
                <w:sz w:val="18"/>
                <w:szCs w:val="18"/>
              </w:rPr>
            </w:pPr>
            <w:r w:rsidRPr="004A4B83">
              <w:rPr>
                <w:rFonts w:cs="Arial"/>
                <w:color w:val="1F3864" w:themeColor="accent5" w:themeShade="80"/>
                <w:sz w:val="18"/>
                <w:szCs w:val="18"/>
              </w:rPr>
              <w:t>68,73</w:t>
            </w:r>
          </w:p>
        </w:tc>
        <w:tc>
          <w:tcPr>
            <w:tcW w:w="851" w:type="dxa"/>
            <w:vAlign w:val="center"/>
          </w:tcPr>
          <w:p w14:paraId="735B728E" w14:textId="77777777" w:rsidR="008036A0" w:rsidRPr="004A4B83" w:rsidRDefault="008036A0" w:rsidP="0038174C">
            <w:pPr>
              <w:spacing w:line="276" w:lineRule="auto"/>
              <w:jc w:val="right"/>
              <w:rPr>
                <w:color w:val="1F3864" w:themeColor="accent5" w:themeShade="80"/>
                <w:sz w:val="18"/>
                <w:szCs w:val="18"/>
              </w:rPr>
            </w:pPr>
            <w:r w:rsidRPr="004A4B83">
              <w:rPr>
                <w:color w:val="1F3864" w:themeColor="accent5" w:themeShade="80"/>
                <w:sz w:val="18"/>
                <w:szCs w:val="18"/>
              </w:rPr>
              <w:t>19,1419</w:t>
            </w:r>
          </w:p>
        </w:tc>
        <w:tc>
          <w:tcPr>
            <w:tcW w:w="1417" w:type="dxa"/>
            <w:vAlign w:val="center"/>
          </w:tcPr>
          <w:p w14:paraId="16469684" w14:textId="77777777" w:rsidR="008036A0" w:rsidRPr="004A4B83" w:rsidRDefault="008036A0" w:rsidP="0038174C">
            <w:pPr>
              <w:spacing w:line="276" w:lineRule="auto"/>
              <w:jc w:val="right"/>
              <w:rPr>
                <w:color w:val="1F3864" w:themeColor="accent5" w:themeShade="80"/>
                <w:sz w:val="18"/>
                <w:szCs w:val="18"/>
              </w:rPr>
            </w:pPr>
            <w:r w:rsidRPr="004A4B83">
              <w:rPr>
                <w:color w:val="1F3864" w:themeColor="accent5" w:themeShade="80"/>
                <w:sz w:val="18"/>
                <w:szCs w:val="18"/>
              </w:rPr>
              <w:t>NP, OK</w:t>
            </w:r>
          </w:p>
        </w:tc>
      </w:tr>
      <w:tr w:rsidR="008036A0" w:rsidRPr="00FF6A10" w14:paraId="772E32ED" w14:textId="77777777" w:rsidTr="00200210">
        <w:tc>
          <w:tcPr>
            <w:tcW w:w="1305" w:type="dxa"/>
          </w:tcPr>
          <w:p w14:paraId="50329625" w14:textId="77777777" w:rsidR="008036A0" w:rsidRPr="004A4B83" w:rsidRDefault="008036A0" w:rsidP="0038174C">
            <w:pPr>
              <w:spacing w:line="276" w:lineRule="auto"/>
              <w:rPr>
                <w:color w:val="1F3864" w:themeColor="accent5" w:themeShade="80"/>
                <w:sz w:val="18"/>
                <w:szCs w:val="18"/>
              </w:rPr>
            </w:pPr>
            <w:r w:rsidRPr="004A4B83">
              <w:rPr>
                <w:color w:val="1F3864" w:themeColor="accent5" w:themeShade="80"/>
                <w:sz w:val="18"/>
                <w:szCs w:val="18"/>
              </w:rPr>
              <w:t>Stratená</w:t>
            </w:r>
          </w:p>
        </w:tc>
        <w:tc>
          <w:tcPr>
            <w:tcW w:w="850" w:type="dxa"/>
            <w:vAlign w:val="center"/>
          </w:tcPr>
          <w:p w14:paraId="3FB6E4A1" w14:textId="77777777" w:rsidR="008036A0" w:rsidRPr="004A4B83" w:rsidRDefault="008036A0" w:rsidP="0038174C">
            <w:pPr>
              <w:spacing w:line="276" w:lineRule="auto"/>
              <w:jc w:val="center"/>
              <w:rPr>
                <w:color w:val="1F3864" w:themeColor="accent5" w:themeShade="80"/>
                <w:sz w:val="18"/>
                <w:szCs w:val="18"/>
              </w:rPr>
            </w:pPr>
            <w:r w:rsidRPr="004A4B83">
              <w:rPr>
                <w:color w:val="1F3864" w:themeColor="accent5" w:themeShade="80"/>
                <w:sz w:val="18"/>
                <w:szCs w:val="18"/>
              </w:rPr>
              <w:t>KSK, RV</w:t>
            </w:r>
          </w:p>
        </w:tc>
        <w:tc>
          <w:tcPr>
            <w:tcW w:w="993" w:type="dxa"/>
            <w:vAlign w:val="center"/>
          </w:tcPr>
          <w:p w14:paraId="666DD080" w14:textId="77777777" w:rsidR="008036A0" w:rsidRPr="004A4B83" w:rsidRDefault="008036A0" w:rsidP="0038174C">
            <w:pPr>
              <w:spacing w:line="276" w:lineRule="auto"/>
              <w:jc w:val="right"/>
              <w:rPr>
                <w:color w:val="1F3864" w:themeColor="accent5" w:themeShade="80"/>
                <w:sz w:val="18"/>
                <w:szCs w:val="18"/>
              </w:rPr>
            </w:pPr>
            <w:r w:rsidRPr="004A4B83">
              <w:rPr>
                <w:color w:val="1F3864" w:themeColor="accent5" w:themeShade="80"/>
                <w:sz w:val="18"/>
                <w:szCs w:val="18"/>
              </w:rPr>
              <w:t>132</w:t>
            </w:r>
          </w:p>
        </w:tc>
        <w:tc>
          <w:tcPr>
            <w:tcW w:w="850" w:type="dxa"/>
            <w:vAlign w:val="center"/>
          </w:tcPr>
          <w:p w14:paraId="1DE49A70" w14:textId="77777777" w:rsidR="008036A0" w:rsidRPr="004A4B83" w:rsidRDefault="008036A0" w:rsidP="0038174C">
            <w:pPr>
              <w:spacing w:line="276" w:lineRule="auto"/>
              <w:jc w:val="right"/>
              <w:rPr>
                <w:color w:val="1F3864" w:themeColor="accent5" w:themeShade="80"/>
                <w:sz w:val="18"/>
                <w:szCs w:val="18"/>
              </w:rPr>
            </w:pPr>
            <w:r w:rsidRPr="004A4B83">
              <w:rPr>
                <w:color w:val="1F3864" w:themeColor="accent5" w:themeShade="80"/>
                <w:sz w:val="18"/>
                <w:szCs w:val="18"/>
              </w:rPr>
              <w:t>128 (-)</w:t>
            </w:r>
          </w:p>
        </w:tc>
        <w:tc>
          <w:tcPr>
            <w:tcW w:w="992" w:type="dxa"/>
          </w:tcPr>
          <w:p w14:paraId="297901F2" w14:textId="35EA13D8" w:rsidR="008036A0" w:rsidRPr="004A4B83" w:rsidRDefault="007543B3" w:rsidP="0038174C">
            <w:pPr>
              <w:spacing w:line="276" w:lineRule="auto"/>
              <w:jc w:val="right"/>
              <w:rPr>
                <w:color w:val="1F3864" w:themeColor="accent5" w:themeShade="80"/>
                <w:sz w:val="18"/>
                <w:szCs w:val="18"/>
              </w:rPr>
            </w:pPr>
            <w:r w:rsidRPr="004A4B83">
              <w:rPr>
                <w:color w:val="1F3864" w:themeColor="accent5" w:themeShade="80"/>
                <w:sz w:val="18"/>
                <w:szCs w:val="18"/>
              </w:rPr>
              <w:t>124 (-)</w:t>
            </w:r>
          </w:p>
        </w:tc>
        <w:tc>
          <w:tcPr>
            <w:tcW w:w="709" w:type="dxa"/>
          </w:tcPr>
          <w:p w14:paraId="66058FA7" w14:textId="37148682" w:rsidR="008036A0" w:rsidRPr="004A4B83" w:rsidRDefault="008036A0" w:rsidP="0038174C">
            <w:pPr>
              <w:spacing w:line="276" w:lineRule="auto"/>
              <w:jc w:val="right"/>
              <w:rPr>
                <w:color w:val="1F3864" w:themeColor="accent5" w:themeShade="80"/>
                <w:sz w:val="18"/>
                <w:szCs w:val="18"/>
              </w:rPr>
            </w:pPr>
            <w:r w:rsidRPr="004A4B83">
              <w:rPr>
                <w:color w:val="1F3864" w:themeColor="accent5" w:themeShade="80"/>
                <w:sz w:val="18"/>
                <w:szCs w:val="18"/>
              </w:rPr>
              <w:t>35,36</w:t>
            </w:r>
          </w:p>
        </w:tc>
        <w:tc>
          <w:tcPr>
            <w:tcW w:w="1134" w:type="dxa"/>
            <w:vAlign w:val="bottom"/>
          </w:tcPr>
          <w:p w14:paraId="7E64F91E" w14:textId="77777777" w:rsidR="008036A0" w:rsidRPr="004A4B83" w:rsidRDefault="008036A0" w:rsidP="0038174C">
            <w:pPr>
              <w:spacing w:line="276" w:lineRule="auto"/>
              <w:jc w:val="right"/>
              <w:rPr>
                <w:rFonts w:cs="Arial"/>
                <w:color w:val="1F3864" w:themeColor="accent5" w:themeShade="80"/>
                <w:sz w:val="18"/>
                <w:szCs w:val="18"/>
              </w:rPr>
            </w:pPr>
            <w:r w:rsidRPr="004A4B83">
              <w:rPr>
                <w:rFonts w:cs="Arial"/>
                <w:color w:val="1F3864" w:themeColor="accent5" w:themeShade="80"/>
                <w:sz w:val="18"/>
                <w:szCs w:val="18"/>
              </w:rPr>
              <w:t>3,62</w:t>
            </w:r>
          </w:p>
        </w:tc>
        <w:tc>
          <w:tcPr>
            <w:tcW w:w="851" w:type="dxa"/>
            <w:vAlign w:val="center"/>
          </w:tcPr>
          <w:p w14:paraId="02B5F2FB" w14:textId="77777777" w:rsidR="008036A0" w:rsidRPr="004A4B83" w:rsidRDefault="008036A0" w:rsidP="0038174C">
            <w:pPr>
              <w:spacing w:line="276" w:lineRule="auto"/>
              <w:jc w:val="right"/>
              <w:rPr>
                <w:color w:val="1F3864" w:themeColor="accent5" w:themeShade="80"/>
                <w:sz w:val="18"/>
                <w:szCs w:val="18"/>
              </w:rPr>
            </w:pPr>
            <w:r w:rsidRPr="004A4B83">
              <w:rPr>
                <w:color w:val="1F3864" w:themeColor="accent5" w:themeShade="80"/>
                <w:sz w:val="18"/>
                <w:szCs w:val="18"/>
              </w:rPr>
              <w:t>35,3600</w:t>
            </w:r>
          </w:p>
        </w:tc>
        <w:tc>
          <w:tcPr>
            <w:tcW w:w="1417" w:type="dxa"/>
            <w:vAlign w:val="center"/>
          </w:tcPr>
          <w:p w14:paraId="19373D0F" w14:textId="77777777" w:rsidR="008036A0" w:rsidRPr="004A4B83" w:rsidRDefault="008036A0" w:rsidP="0038174C">
            <w:pPr>
              <w:spacing w:line="276" w:lineRule="auto"/>
              <w:jc w:val="right"/>
              <w:rPr>
                <w:color w:val="1F3864" w:themeColor="accent5" w:themeShade="80"/>
                <w:sz w:val="18"/>
                <w:szCs w:val="18"/>
              </w:rPr>
            </w:pPr>
            <w:r w:rsidRPr="004A4B83">
              <w:rPr>
                <w:color w:val="1F3864" w:themeColor="accent5" w:themeShade="80"/>
                <w:sz w:val="18"/>
                <w:szCs w:val="18"/>
              </w:rPr>
              <w:t>NP</w:t>
            </w:r>
          </w:p>
        </w:tc>
      </w:tr>
      <w:tr w:rsidR="008036A0" w:rsidRPr="00FF6A10" w14:paraId="33347B51" w14:textId="77777777" w:rsidTr="00200210">
        <w:tc>
          <w:tcPr>
            <w:tcW w:w="1305" w:type="dxa"/>
          </w:tcPr>
          <w:p w14:paraId="4264B412" w14:textId="77777777" w:rsidR="008036A0" w:rsidRPr="004A4B83" w:rsidRDefault="008036A0" w:rsidP="0038174C">
            <w:pPr>
              <w:spacing w:line="276" w:lineRule="auto"/>
              <w:rPr>
                <w:color w:val="833C0B" w:themeColor="accent2" w:themeShade="80"/>
                <w:sz w:val="18"/>
                <w:szCs w:val="18"/>
              </w:rPr>
            </w:pPr>
            <w:r w:rsidRPr="004A4B83">
              <w:rPr>
                <w:color w:val="833C0B" w:themeColor="accent2" w:themeShade="80"/>
                <w:sz w:val="18"/>
                <w:szCs w:val="18"/>
              </w:rPr>
              <w:t>Hranovnica</w:t>
            </w:r>
          </w:p>
        </w:tc>
        <w:tc>
          <w:tcPr>
            <w:tcW w:w="850" w:type="dxa"/>
            <w:vAlign w:val="center"/>
          </w:tcPr>
          <w:p w14:paraId="2C5CE7B0" w14:textId="77777777" w:rsidR="008036A0" w:rsidRPr="004A4B83" w:rsidRDefault="008036A0" w:rsidP="0038174C">
            <w:pPr>
              <w:spacing w:line="276" w:lineRule="auto"/>
              <w:jc w:val="center"/>
              <w:rPr>
                <w:color w:val="833C0B" w:themeColor="accent2" w:themeShade="80"/>
                <w:sz w:val="18"/>
                <w:szCs w:val="18"/>
              </w:rPr>
            </w:pPr>
            <w:r w:rsidRPr="004A4B83">
              <w:rPr>
                <w:color w:val="833C0B" w:themeColor="accent2" w:themeShade="80"/>
                <w:sz w:val="18"/>
                <w:szCs w:val="18"/>
              </w:rPr>
              <w:t>PSK, PP</w:t>
            </w:r>
          </w:p>
        </w:tc>
        <w:tc>
          <w:tcPr>
            <w:tcW w:w="993" w:type="dxa"/>
            <w:vAlign w:val="center"/>
          </w:tcPr>
          <w:p w14:paraId="033119EA" w14:textId="77777777"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2 943</w:t>
            </w:r>
          </w:p>
        </w:tc>
        <w:tc>
          <w:tcPr>
            <w:tcW w:w="850" w:type="dxa"/>
            <w:vAlign w:val="center"/>
          </w:tcPr>
          <w:p w14:paraId="0DBBEAB8" w14:textId="77777777"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2955 (+)</w:t>
            </w:r>
          </w:p>
        </w:tc>
        <w:tc>
          <w:tcPr>
            <w:tcW w:w="992" w:type="dxa"/>
          </w:tcPr>
          <w:p w14:paraId="65AA4DDC" w14:textId="1628C98B" w:rsidR="008036A0" w:rsidRPr="004A4B83" w:rsidRDefault="007543B3" w:rsidP="0038174C">
            <w:pPr>
              <w:spacing w:line="276" w:lineRule="auto"/>
              <w:jc w:val="right"/>
              <w:rPr>
                <w:color w:val="833C0B" w:themeColor="accent2" w:themeShade="80"/>
                <w:sz w:val="18"/>
                <w:szCs w:val="18"/>
              </w:rPr>
            </w:pPr>
            <w:r w:rsidRPr="004A4B83">
              <w:rPr>
                <w:color w:val="833C0B" w:themeColor="accent2" w:themeShade="80"/>
                <w:sz w:val="18"/>
                <w:szCs w:val="18"/>
              </w:rPr>
              <w:t>3103 (+)</w:t>
            </w:r>
          </w:p>
        </w:tc>
        <w:tc>
          <w:tcPr>
            <w:tcW w:w="709" w:type="dxa"/>
          </w:tcPr>
          <w:p w14:paraId="7D285DF9" w14:textId="224C56CA"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32,66</w:t>
            </w:r>
          </w:p>
        </w:tc>
        <w:tc>
          <w:tcPr>
            <w:tcW w:w="1134" w:type="dxa"/>
            <w:vAlign w:val="bottom"/>
          </w:tcPr>
          <w:p w14:paraId="10AA1518" w14:textId="77777777" w:rsidR="008036A0" w:rsidRPr="004A4B83" w:rsidRDefault="008036A0" w:rsidP="0038174C">
            <w:pPr>
              <w:spacing w:line="276" w:lineRule="auto"/>
              <w:jc w:val="right"/>
              <w:rPr>
                <w:rFonts w:cs="Arial"/>
                <w:color w:val="833C0B" w:themeColor="accent2" w:themeShade="80"/>
                <w:sz w:val="18"/>
                <w:szCs w:val="18"/>
              </w:rPr>
            </w:pPr>
            <w:r w:rsidRPr="004A4B83">
              <w:rPr>
                <w:rFonts w:cs="Arial"/>
                <w:color w:val="833C0B" w:themeColor="accent2" w:themeShade="80"/>
                <w:sz w:val="18"/>
                <w:szCs w:val="18"/>
              </w:rPr>
              <w:t>90,48</w:t>
            </w:r>
          </w:p>
        </w:tc>
        <w:tc>
          <w:tcPr>
            <w:tcW w:w="851" w:type="dxa"/>
            <w:vAlign w:val="center"/>
          </w:tcPr>
          <w:p w14:paraId="67F7E21A" w14:textId="77777777"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7,8666</w:t>
            </w:r>
          </w:p>
        </w:tc>
        <w:tc>
          <w:tcPr>
            <w:tcW w:w="1417" w:type="dxa"/>
            <w:vAlign w:val="center"/>
          </w:tcPr>
          <w:p w14:paraId="2BA9FBFA" w14:textId="77777777"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NP, OP, OK</w:t>
            </w:r>
          </w:p>
        </w:tc>
      </w:tr>
      <w:tr w:rsidR="008036A0" w:rsidRPr="00FF6A10" w14:paraId="11DB4EA6" w14:textId="77777777" w:rsidTr="00200210">
        <w:tc>
          <w:tcPr>
            <w:tcW w:w="1305" w:type="dxa"/>
          </w:tcPr>
          <w:p w14:paraId="7F6B8F90" w14:textId="77777777" w:rsidR="008036A0" w:rsidRPr="004A4B83" w:rsidRDefault="008036A0" w:rsidP="0038174C">
            <w:pPr>
              <w:spacing w:line="276" w:lineRule="auto"/>
              <w:rPr>
                <w:color w:val="833C0B" w:themeColor="accent2" w:themeShade="80"/>
                <w:sz w:val="18"/>
                <w:szCs w:val="18"/>
              </w:rPr>
            </w:pPr>
            <w:r w:rsidRPr="004A4B83">
              <w:rPr>
                <w:color w:val="833C0B" w:themeColor="accent2" w:themeShade="80"/>
                <w:sz w:val="18"/>
                <w:szCs w:val="18"/>
              </w:rPr>
              <w:t>Spišské Bystré</w:t>
            </w:r>
          </w:p>
        </w:tc>
        <w:tc>
          <w:tcPr>
            <w:tcW w:w="850" w:type="dxa"/>
            <w:vAlign w:val="center"/>
          </w:tcPr>
          <w:p w14:paraId="5C6F8FE8" w14:textId="77777777" w:rsidR="008036A0" w:rsidRPr="004A4B83" w:rsidRDefault="008036A0" w:rsidP="0038174C">
            <w:pPr>
              <w:spacing w:line="276" w:lineRule="auto"/>
              <w:jc w:val="center"/>
              <w:rPr>
                <w:color w:val="833C0B" w:themeColor="accent2" w:themeShade="80"/>
                <w:sz w:val="18"/>
                <w:szCs w:val="18"/>
              </w:rPr>
            </w:pPr>
            <w:r w:rsidRPr="004A4B83">
              <w:rPr>
                <w:color w:val="833C0B" w:themeColor="accent2" w:themeShade="80"/>
                <w:sz w:val="18"/>
                <w:szCs w:val="18"/>
              </w:rPr>
              <w:t>PSK, PP</w:t>
            </w:r>
          </w:p>
        </w:tc>
        <w:tc>
          <w:tcPr>
            <w:tcW w:w="993" w:type="dxa"/>
            <w:vAlign w:val="center"/>
          </w:tcPr>
          <w:p w14:paraId="3EF09637" w14:textId="77777777"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2 450</w:t>
            </w:r>
          </w:p>
        </w:tc>
        <w:tc>
          <w:tcPr>
            <w:tcW w:w="850" w:type="dxa"/>
            <w:vAlign w:val="center"/>
          </w:tcPr>
          <w:p w14:paraId="2EBF9B24" w14:textId="77777777"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2462 (+)</w:t>
            </w:r>
          </w:p>
        </w:tc>
        <w:tc>
          <w:tcPr>
            <w:tcW w:w="992" w:type="dxa"/>
          </w:tcPr>
          <w:p w14:paraId="4B8F080B" w14:textId="412E3DF0" w:rsidR="008036A0" w:rsidRPr="004A4B83" w:rsidRDefault="007543B3" w:rsidP="0038174C">
            <w:pPr>
              <w:spacing w:line="276" w:lineRule="auto"/>
              <w:jc w:val="right"/>
              <w:rPr>
                <w:color w:val="833C0B" w:themeColor="accent2" w:themeShade="80"/>
                <w:sz w:val="18"/>
                <w:szCs w:val="18"/>
              </w:rPr>
            </w:pPr>
            <w:r w:rsidRPr="004A4B83">
              <w:rPr>
                <w:color w:val="833C0B" w:themeColor="accent2" w:themeShade="80"/>
                <w:sz w:val="18"/>
                <w:szCs w:val="18"/>
              </w:rPr>
              <w:t>2544 (+)</w:t>
            </w:r>
          </w:p>
        </w:tc>
        <w:tc>
          <w:tcPr>
            <w:tcW w:w="709" w:type="dxa"/>
          </w:tcPr>
          <w:p w14:paraId="07AF81C8" w14:textId="5179DFE4"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38,00</w:t>
            </w:r>
          </w:p>
        </w:tc>
        <w:tc>
          <w:tcPr>
            <w:tcW w:w="1134" w:type="dxa"/>
            <w:vAlign w:val="bottom"/>
          </w:tcPr>
          <w:p w14:paraId="731296FE" w14:textId="77777777" w:rsidR="008036A0" w:rsidRPr="004A4B83" w:rsidRDefault="008036A0" w:rsidP="0038174C">
            <w:pPr>
              <w:spacing w:line="276" w:lineRule="auto"/>
              <w:jc w:val="right"/>
              <w:rPr>
                <w:rFonts w:cs="Arial"/>
                <w:color w:val="833C0B" w:themeColor="accent2" w:themeShade="80"/>
                <w:sz w:val="18"/>
                <w:szCs w:val="18"/>
              </w:rPr>
            </w:pPr>
            <w:r w:rsidRPr="004A4B83">
              <w:rPr>
                <w:rFonts w:cs="Arial"/>
                <w:color w:val="833C0B" w:themeColor="accent2" w:themeShade="80"/>
                <w:sz w:val="18"/>
                <w:szCs w:val="18"/>
              </w:rPr>
              <w:t>64,79</w:t>
            </w:r>
          </w:p>
        </w:tc>
        <w:tc>
          <w:tcPr>
            <w:tcW w:w="851" w:type="dxa"/>
            <w:vAlign w:val="center"/>
          </w:tcPr>
          <w:p w14:paraId="2B37771A" w14:textId="77777777"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x</w:t>
            </w:r>
          </w:p>
        </w:tc>
        <w:tc>
          <w:tcPr>
            <w:tcW w:w="1417" w:type="dxa"/>
            <w:vAlign w:val="center"/>
          </w:tcPr>
          <w:p w14:paraId="09E0D86C" w14:textId="77777777"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OP, OK</w:t>
            </w:r>
          </w:p>
        </w:tc>
      </w:tr>
      <w:tr w:rsidR="008036A0" w:rsidRPr="00FF6A10" w14:paraId="0B2C1701" w14:textId="77777777" w:rsidTr="00200210">
        <w:tc>
          <w:tcPr>
            <w:tcW w:w="1305" w:type="dxa"/>
          </w:tcPr>
          <w:p w14:paraId="2564FE9D" w14:textId="77777777" w:rsidR="008036A0" w:rsidRPr="004A4B83" w:rsidRDefault="008036A0" w:rsidP="0038174C">
            <w:pPr>
              <w:spacing w:line="276" w:lineRule="auto"/>
              <w:rPr>
                <w:color w:val="833C0B" w:themeColor="accent2" w:themeShade="80"/>
                <w:sz w:val="18"/>
                <w:szCs w:val="18"/>
              </w:rPr>
            </w:pPr>
            <w:r w:rsidRPr="004A4B83">
              <w:rPr>
                <w:color w:val="833C0B" w:themeColor="accent2" w:themeShade="80"/>
                <w:sz w:val="18"/>
                <w:szCs w:val="18"/>
              </w:rPr>
              <w:t>Spišský Štiavnik</w:t>
            </w:r>
          </w:p>
        </w:tc>
        <w:tc>
          <w:tcPr>
            <w:tcW w:w="850" w:type="dxa"/>
            <w:vAlign w:val="center"/>
          </w:tcPr>
          <w:p w14:paraId="2E888B60" w14:textId="77777777" w:rsidR="008036A0" w:rsidRPr="004A4B83" w:rsidRDefault="008036A0" w:rsidP="0038174C">
            <w:pPr>
              <w:spacing w:line="276" w:lineRule="auto"/>
              <w:jc w:val="center"/>
              <w:rPr>
                <w:color w:val="833C0B" w:themeColor="accent2" w:themeShade="80"/>
                <w:sz w:val="18"/>
                <w:szCs w:val="18"/>
              </w:rPr>
            </w:pPr>
            <w:r w:rsidRPr="004A4B83">
              <w:rPr>
                <w:color w:val="833C0B" w:themeColor="accent2" w:themeShade="80"/>
                <w:sz w:val="18"/>
                <w:szCs w:val="18"/>
              </w:rPr>
              <w:t>PSK, PP</w:t>
            </w:r>
          </w:p>
        </w:tc>
        <w:tc>
          <w:tcPr>
            <w:tcW w:w="993" w:type="dxa"/>
            <w:vAlign w:val="center"/>
          </w:tcPr>
          <w:p w14:paraId="4757C082" w14:textId="77777777"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2 709</w:t>
            </w:r>
          </w:p>
        </w:tc>
        <w:tc>
          <w:tcPr>
            <w:tcW w:w="850" w:type="dxa"/>
            <w:vAlign w:val="center"/>
          </w:tcPr>
          <w:p w14:paraId="0C8124E1" w14:textId="77777777"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 xml:space="preserve"> 2709</w:t>
            </w:r>
          </w:p>
        </w:tc>
        <w:tc>
          <w:tcPr>
            <w:tcW w:w="992" w:type="dxa"/>
          </w:tcPr>
          <w:p w14:paraId="78BFE296" w14:textId="45AD940E" w:rsidR="008036A0" w:rsidRPr="004A4B83" w:rsidRDefault="007543B3" w:rsidP="0038174C">
            <w:pPr>
              <w:spacing w:line="276" w:lineRule="auto"/>
              <w:jc w:val="right"/>
              <w:rPr>
                <w:color w:val="833C0B" w:themeColor="accent2" w:themeShade="80"/>
                <w:sz w:val="18"/>
                <w:szCs w:val="18"/>
              </w:rPr>
            </w:pPr>
            <w:r w:rsidRPr="004A4B83">
              <w:rPr>
                <w:color w:val="833C0B" w:themeColor="accent2" w:themeShade="80"/>
                <w:sz w:val="18"/>
                <w:szCs w:val="18"/>
              </w:rPr>
              <w:t>2842 (+)</w:t>
            </w:r>
          </w:p>
        </w:tc>
        <w:tc>
          <w:tcPr>
            <w:tcW w:w="709" w:type="dxa"/>
            <w:vAlign w:val="center"/>
          </w:tcPr>
          <w:p w14:paraId="5170838F" w14:textId="49345C25"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18,36</w:t>
            </w:r>
          </w:p>
        </w:tc>
        <w:tc>
          <w:tcPr>
            <w:tcW w:w="1134" w:type="dxa"/>
            <w:vAlign w:val="bottom"/>
          </w:tcPr>
          <w:p w14:paraId="6473EB26" w14:textId="77777777" w:rsidR="008036A0" w:rsidRPr="004A4B83" w:rsidRDefault="008036A0" w:rsidP="0038174C">
            <w:pPr>
              <w:spacing w:line="276" w:lineRule="auto"/>
              <w:jc w:val="right"/>
              <w:rPr>
                <w:rFonts w:cs="Arial"/>
                <w:color w:val="833C0B" w:themeColor="accent2" w:themeShade="80"/>
                <w:sz w:val="18"/>
                <w:szCs w:val="18"/>
              </w:rPr>
            </w:pPr>
            <w:r w:rsidRPr="004A4B83">
              <w:rPr>
                <w:rFonts w:cs="Arial"/>
                <w:color w:val="833C0B" w:themeColor="accent2" w:themeShade="80"/>
                <w:sz w:val="18"/>
                <w:szCs w:val="18"/>
              </w:rPr>
              <w:t>147,55</w:t>
            </w:r>
          </w:p>
        </w:tc>
        <w:tc>
          <w:tcPr>
            <w:tcW w:w="851" w:type="dxa"/>
            <w:vAlign w:val="center"/>
          </w:tcPr>
          <w:p w14:paraId="4E1107B7" w14:textId="77777777"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2,4624</w:t>
            </w:r>
          </w:p>
        </w:tc>
        <w:tc>
          <w:tcPr>
            <w:tcW w:w="1417" w:type="dxa"/>
            <w:vAlign w:val="center"/>
          </w:tcPr>
          <w:p w14:paraId="7E61DB6E" w14:textId="77777777"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NP, OP, OK</w:t>
            </w:r>
          </w:p>
        </w:tc>
      </w:tr>
      <w:tr w:rsidR="008036A0" w:rsidRPr="00FF6A10" w14:paraId="3AE02160" w14:textId="77777777" w:rsidTr="00200210">
        <w:tc>
          <w:tcPr>
            <w:tcW w:w="1305" w:type="dxa"/>
          </w:tcPr>
          <w:p w14:paraId="357B4792" w14:textId="77777777" w:rsidR="008036A0" w:rsidRPr="004A4B83" w:rsidRDefault="008036A0" w:rsidP="0038174C">
            <w:pPr>
              <w:spacing w:line="276" w:lineRule="auto"/>
              <w:rPr>
                <w:color w:val="1F3864" w:themeColor="accent5" w:themeShade="80"/>
                <w:sz w:val="18"/>
                <w:szCs w:val="18"/>
              </w:rPr>
            </w:pPr>
            <w:r w:rsidRPr="004A4B83">
              <w:rPr>
                <w:color w:val="1F3864" w:themeColor="accent5" w:themeShade="80"/>
                <w:sz w:val="18"/>
                <w:szCs w:val="18"/>
              </w:rPr>
              <w:t>Vernár</w:t>
            </w:r>
          </w:p>
        </w:tc>
        <w:tc>
          <w:tcPr>
            <w:tcW w:w="850" w:type="dxa"/>
            <w:vAlign w:val="center"/>
          </w:tcPr>
          <w:p w14:paraId="55758D72" w14:textId="77777777" w:rsidR="008036A0" w:rsidRPr="004A4B83" w:rsidRDefault="008036A0" w:rsidP="0038174C">
            <w:pPr>
              <w:spacing w:line="276" w:lineRule="auto"/>
              <w:jc w:val="center"/>
              <w:rPr>
                <w:color w:val="1F3864" w:themeColor="accent5" w:themeShade="80"/>
                <w:sz w:val="18"/>
                <w:szCs w:val="18"/>
              </w:rPr>
            </w:pPr>
            <w:r w:rsidRPr="004A4B83">
              <w:rPr>
                <w:color w:val="1F3864" w:themeColor="accent5" w:themeShade="80"/>
                <w:sz w:val="18"/>
                <w:szCs w:val="18"/>
              </w:rPr>
              <w:t>PSK, PP</w:t>
            </w:r>
          </w:p>
        </w:tc>
        <w:tc>
          <w:tcPr>
            <w:tcW w:w="993" w:type="dxa"/>
            <w:vAlign w:val="center"/>
          </w:tcPr>
          <w:p w14:paraId="19C02D5A" w14:textId="77777777" w:rsidR="008036A0" w:rsidRPr="004A4B83" w:rsidRDefault="008036A0" w:rsidP="0038174C">
            <w:pPr>
              <w:spacing w:line="276" w:lineRule="auto"/>
              <w:jc w:val="right"/>
              <w:rPr>
                <w:color w:val="1F3864" w:themeColor="accent5" w:themeShade="80"/>
                <w:sz w:val="18"/>
                <w:szCs w:val="18"/>
              </w:rPr>
            </w:pPr>
            <w:r w:rsidRPr="004A4B83">
              <w:rPr>
                <w:color w:val="1F3864" w:themeColor="accent5" w:themeShade="80"/>
                <w:sz w:val="18"/>
                <w:szCs w:val="18"/>
              </w:rPr>
              <w:t>591</w:t>
            </w:r>
          </w:p>
        </w:tc>
        <w:tc>
          <w:tcPr>
            <w:tcW w:w="850" w:type="dxa"/>
            <w:vAlign w:val="center"/>
          </w:tcPr>
          <w:p w14:paraId="7C988E7D" w14:textId="77777777" w:rsidR="008036A0" w:rsidRPr="004A4B83" w:rsidRDefault="008036A0" w:rsidP="0038174C">
            <w:pPr>
              <w:spacing w:line="276" w:lineRule="auto"/>
              <w:jc w:val="right"/>
              <w:rPr>
                <w:color w:val="1F3864" w:themeColor="accent5" w:themeShade="80"/>
                <w:sz w:val="18"/>
                <w:szCs w:val="18"/>
              </w:rPr>
            </w:pPr>
            <w:r w:rsidRPr="004A4B83">
              <w:rPr>
                <w:color w:val="1F3864" w:themeColor="accent5" w:themeShade="80"/>
                <w:sz w:val="18"/>
                <w:szCs w:val="18"/>
              </w:rPr>
              <w:t>584 (-)</w:t>
            </w:r>
          </w:p>
        </w:tc>
        <w:tc>
          <w:tcPr>
            <w:tcW w:w="992" w:type="dxa"/>
          </w:tcPr>
          <w:p w14:paraId="50339339" w14:textId="29C9A6B4" w:rsidR="008036A0" w:rsidRPr="004A4B83" w:rsidRDefault="007543B3" w:rsidP="0038174C">
            <w:pPr>
              <w:spacing w:line="276" w:lineRule="auto"/>
              <w:jc w:val="right"/>
              <w:rPr>
                <w:color w:val="1F3864" w:themeColor="accent5" w:themeShade="80"/>
                <w:sz w:val="18"/>
                <w:szCs w:val="18"/>
              </w:rPr>
            </w:pPr>
            <w:r w:rsidRPr="004A4B83">
              <w:rPr>
                <w:color w:val="1F3864" w:themeColor="accent5" w:themeShade="80"/>
                <w:sz w:val="18"/>
                <w:szCs w:val="18"/>
              </w:rPr>
              <w:t>571 (-)</w:t>
            </w:r>
          </w:p>
        </w:tc>
        <w:tc>
          <w:tcPr>
            <w:tcW w:w="709" w:type="dxa"/>
          </w:tcPr>
          <w:p w14:paraId="039F457A" w14:textId="74648AF3" w:rsidR="008036A0" w:rsidRPr="004A4B83" w:rsidRDefault="008036A0" w:rsidP="0038174C">
            <w:pPr>
              <w:spacing w:line="276" w:lineRule="auto"/>
              <w:jc w:val="right"/>
              <w:rPr>
                <w:color w:val="1F3864" w:themeColor="accent5" w:themeShade="80"/>
                <w:sz w:val="18"/>
                <w:szCs w:val="18"/>
              </w:rPr>
            </w:pPr>
            <w:r w:rsidRPr="004A4B83">
              <w:rPr>
                <w:color w:val="1F3864" w:themeColor="accent5" w:themeShade="80"/>
                <w:sz w:val="18"/>
                <w:szCs w:val="18"/>
              </w:rPr>
              <w:t>52,90</w:t>
            </w:r>
          </w:p>
        </w:tc>
        <w:tc>
          <w:tcPr>
            <w:tcW w:w="1134" w:type="dxa"/>
            <w:vAlign w:val="bottom"/>
          </w:tcPr>
          <w:p w14:paraId="10391ABC" w14:textId="77777777" w:rsidR="008036A0" w:rsidRPr="004A4B83" w:rsidRDefault="008036A0" w:rsidP="0038174C">
            <w:pPr>
              <w:spacing w:line="276" w:lineRule="auto"/>
              <w:jc w:val="right"/>
              <w:rPr>
                <w:rFonts w:cs="Arial"/>
                <w:color w:val="1F3864" w:themeColor="accent5" w:themeShade="80"/>
                <w:sz w:val="18"/>
                <w:szCs w:val="18"/>
              </w:rPr>
            </w:pPr>
            <w:r w:rsidRPr="004A4B83">
              <w:rPr>
                <w:rFonts w:cs="Arial"/>
                <w:color w:val="1F3864" w:themeColor="accent5" w:themeShade="80"/>
                <w:sz w:val="18"/>
                <w:szCs w:val="18"/>
              </w:rPr>
              <w:t>11,04</w:t>
            </w:r>
          </w:p>
        </w:tc>
        <w:tc>
          <w:tcPr>
            <w:tcW w:w="851" w:type="dxa"/>
            <w:vAlign w:val="center"/>
          </w:tcPr>
          <w:p w14:paraId="79C367B9" w14:textId="77777777" w:rsidR="008036A0" w:rsidRPr="004A4B83" w:rsidRDefault="008036A0" w:rsidP="0038174C">
            <w:pPr>
              <w:spacing w:line="276" w:lineRule="auto"/>
              <w:jc w:val="right"/>
              <w:rPr>
                <w:color w:val="1F3864" w:themeColor="accent5" w:themeShade="80"/>
                <w:sz w:val="18"/>
                <w:szCs w:val="18"/>
              </w:rPr>
            </w:pPr>
            <w:r w:rsidRPr="004A4B83">
              <w:rPr>
                <w:color w:val="1F3864" w:themeColor="accent5" w:themeShade="80"/>
                <w:sz w:val="18"/>
                <w:szCs w:val="18"/>
              </w:rPr>
              <w:t>45,6225</w:t>
            </w:r>
          </w:p>
        </w:tc>
        <w:tc>
          <w:tcPr>
            <w:tcW w:w="1417" w:type="dxa"/>
            <w:vAlign w:val="center"/>
          </w:tcPr>
          <w:p w14:paraId="586F24B5" w14:textId="77777777" w:rsidR="008036A0" w:rsidRPr="004A4B83" w:rsidRDefault="008036A0" w:rsidP="0038174C">
            <w:pPr>
              <w:spacing w:line="276" w:lineRule="auto"/>
              <w:jc w:val="right"/>
              <w:rPr>
                <w:color w:val="1F3864" w:themeColor="accent5" w:themeShade="80"/>
                <w:sz w:val="18"/>
                <w:szCs w:val="18"/>
              </w:rPr>
            </w:pPr>
            <w:r w:rsidRPr="004A4B83">
              <w:rPr>
                <w:color w:val="1F3864" w:themeColor="accent5" w:themeShade="80"/>
                <w:sz w:val="18"/>
                <w:szCs w:val="18"/>
              </w:rPr>
              <w:t>NP, OK</w:t>
            </w:r>
          </w:p>
        </w:tc>
      </w:tr>
      <w:tr w:rsidR="008036A0" w:rsidRPr="00FF6A10" w14:paraId="1662B5D0" w14:textId="77777777" w:rsidTr="00200210">
        <w:tc>
          <w:tcPr>
            <w:tcW w:w="1305" w:type="dxa"/>
          </w:tcPr>
          <w:p w14:paraId="436D2FC0" w14:textId="77777777" w:rsidR="008036A0" w:rsidRPr="00295486" w:rsidRDefault="008036A0" w:rsidP="0038174C">
            <w:pPr>
              <w:spacing w:line="276" w:lineRule="auto"/>
              <w:rPr>
                <w:color w:val="833C0B" w:themeColor="accent2" w:themeShade="80"/>
                <w:sz w:val="18"/>
                <w:szCs w:val="18"/>
              </w:rPr>
            </w:pPr>
            <w:r w:rsidRPr="00295486">
              <w:rPr>
                <w:color w:val="833C0B" w:themeColor="accent2" w:themeShade="80"/>
                <w:sz w:val="18"/>
                <w:szCs w:val="18"/>
              </w:rPr>
              <w:t>Vydrník</w:t>
            </w:r>
          </w:p>
        </w:tc>
        <w:tc>
          <w:tcPr>
            <w:tcW w:w="850" w:type="dxa"/>
            <w:vAlign w:val="center"/>
          </w:tcPr>
          <w:p w14:paraId="4ECDA45A" w14:textId="77777777" w:rsidR="008036A0" w:rsidRPr="00295486" w:rsidRDefault="008036A0" w:rsidP="0038174C">
            <w:pPr>
              <w:spacing w:line="276" w:lineRule="auto"/>
              <w:jc w:val="center"/>
              <w:rPr>
                <w:color w:val="833C0B" w:themeColor="accent2" w:themeShade="80"/>
                <w:sz w:val="18"/>
                <w:szCs w:val="18"/>
              </w:rPr>
            </w:pPr>
            <w:r w:rsidRPr="00295486">
              <w:rPr>
                <w:color w:val="833C0B" w:themeColor="accent2" w:themeShade="80"/>
                <w:sz w:val="18"/>
                <w:szCs w:val="18"/>
              </w:rPr>
              <w:t>PSK, PP</w:t>
            </w:r>
          </w:p>
        </w:tc>
        <w:tc>
          <w:tcPr>
            <w:tcW w:w="993" w:type="dxa"/>
            <w:vAlign w:val="center"/>
          </w:tcPr>
          <w:p w14:paraId="4226F519" w14:textId="77777777" w:rsidR="008036A0" w:rsidRPr="00295486" w:rsidRDefault="008036A0" w:rsidP="0038174C">
            <w:pPr>
              <w:spacing w:line="276" w:lineRule="auto"/>
              <w:jc w:val="right"/>
              <w:rPr>
                <w:color w:val="833C0B" w:themeColor="accent2" w:themeShade="80"/>
                <w:sz w:val="18"/>
                <w:szCs w:val="18"/>
              </w:rPr>
            </w:pPr>
            <w:r w:rsidRPr="00295486">
              <w:rPr>
                <w:color w:val="833C0B" w:themeColor="accent2" w:themeShade="80"/>
                <w:sz w:val="18"/>
                <w:szCs w:val="18"/>
              </w:rPr>
              <w:t>1 128</w:t>
            </w:r>
          </w:p>
        </w:tc>
        <w:tc>
          <w:tcPr>
            <w:tcW w:w="850" w:type="dxa"/>
            <w:vAlign w:val="center"/>
          </w:tcPr>
          <w:p w14:paraId="6B95A934" w14:textId="77777777" w:rsidR="008036A0" w:rsidRPr="00295486" w:rsidRDefault="008036A0" w:rsidP="0038174C">
            <w:pPr>
              <w:spacing w:line="276" w:lineRule="auto"/>
              <w:jc w:val="right"/>
              <w:rPr>
                <w:color w:val="833C0B" w:themeColor="accent2" w:themeShade="80"/>
                <w:sz w:val="18"/>
                <w:szCs w:val="18"/>
              </w:rPr>
            </w:pPr>
            <w:r w:rsidRPr="00295486">
              <w:rPr>
                <w:color w:val="833C0B" w:themeColor="accent2" w:themeShade="80"/>
                <w:sz w:val="18"/>
                <w:szCs w:val="18"/>
              </w:rPr>
              <w:t>1143 (+)</w:t>
            </w:r>
          </w:p>
        </w:tc>
        <w:tc>
          <w:tcPr>
            <w:tcW w:w="992" w:type="dxa"/>
          </w:tcPr>
          <w:p w14:paraId="588DC27A" w14:textId="67739135" w:rsidR="008036A0" w:rsidRPr="00295486" w:rsidRDefault="007543B3" w:rsidP="0038174C">
            <w:pPr>
              <w:spacing w:line="276" w:lineRule="auto"/>
              <w:jc w:val="right"/>
              <w:rPr>
                <w:color w:val="833C0B" w:themeColor="accent2" w:themeShade="80"/>
                <w:sz w:val="18"/>
                <w:szCs w:val="18"/>
              </w:rPr>
            </w:pPr>
            <w:r w:rsidRPr="00295486">
              <w:rPr>
                <w:color w:val="833C0B" w:themeColor="accent2" w:themeShade="80"/>
                <w:sz w:val="18"/>
                <w:szCs w:val="18"/>
              </w:rPr>
              <w:t>1212 (+)</w:t>
            </w:r>
          </w:p>
        </w:tc>
        <w:tc>
          <w:tcPr>
            <w:tcW w:w="709" w:type="dxa"/>
          </w:tcPr>
          <w:p w14:paraId="67892A06" w14:textId="65A3D0CA" w:rsidR="008036A0" w:rsidRPr="00295486" w:rsidRDefault="008036A0" w:rsidP="0038174C">
            <w:pPr>
              <w:spacing w:line="276" w:lineRule="auto"/>
              <w:jc w:val="right"/>
              <w:rPr>
                <w:color w:val="833C0B" w:themeColor="accent2" w:themeShade="80"/>
                <w:sz w:val="18"/>
                <w:szCs w:val="18"/>
              </w:rPr>
            </w:pPr>
            <w:r w:rsidRPr="00295486">
              <w:rPr>
                <w:color w:val="833C0B" w:themeColor="accent2" w:themeShade="80"/>
                <w:sz w:val="18"/>
                <w:szCs w:val="18"/>
              </w:rPr>
              <w:t>4,60</w:t>
            </w:r>
          </w:p>
        </w:tc>
        <w:tc>
          <w:tcPr>
            <w:tcW w:w="1134" w:type="dxa"/>
            <w:vAlign w:val="bottom"/>
          </w:tcPr>
          <w:p w14:paraId="141E0505" w14:textId="77777777" w:rsidR="008036A0" w:rsidRPr="00295486" w:rsidRDefault="008036A0" w:rsidP="0038174C">
            <w:pPr>
              <w:spacing w:line="276" w:lineRule="auto"/>
              <w:jc w:val="right"/>
              <w:rPr>
                <w:rFonts w:cs="Arial"/>
                <w:color w:val="833C0B" w:themeColor="accent2" w:themeShade="80"/>
                <w:sz w:val="18"/>
                <w:szCs w:val="18"/>
              </w:rPr>
            </w:pPr>
            <w:r w:rsidRPr="00295486">
              <w:rPr>
                <w:rFonts w:cs="Arial"/>
                <w:color w:val="833C0B" w:themeColor="accent2" w:themeShade="80"/>
                <w:sz w:val="18"/>
                <w:szCs w:val="18"/>
              </w:rPr>
              <w:t>248,48</w:t>
            </w:r>
          </w:p>
        </w:tc>
        <w:tc>
          <w:tcPr>
            <w:tcW w:w="851" w:type="dxa"/>
            <w:vAlign w:val="center"/>
          </w:tcPr>
          <w:p w14:paraId="5EB34650" w14:textId="77777777" w:rsidR="008036A0" w:rsidRPr="00295486" w:rsidRDefault="008036A0" w:rsidP="0038174C">
            <w:pPr>
              <w:spacing w:line="276" w:lineRule="auto"/>
              <w:jc w:val="right"/>
              <w:rPr>
                <w:color w:val="833C0B" w:themeColor="accent2" w:themeShade="80"/>
                <w:sz w:val="18"/>
                <w:szCs w:val="18"/>
              </w:rPr>
            </w:pPr>
            <w:r w:rsidRPr="00295486">
              <w:rPr>
                <w:color w:val="833C0B" w:themeColor="accent2" w:themeShade="80"/>
                <w:sz w:val="18"/>
                <w:szCs w:val="18"/>
              </w:rPr>
              <w:t>-</w:t>
            </w:r>
          </w:p>
        </w:tc>
        <w:tc>
          <w:tcPr>
            <w:tcW w:w="1417" w:type="dxa"/>
            <w:vAlign w:val="center"/>
          </w:tcPr>
          <w:p w14:paraId="1E9D5F6E" w14:textId="77777777" w:rsidR="008036A0" w:rsidRPr="00295486" w:rsidRDefault="008036A0" w:rsidP="0038174C">
            <w:pPr>
              <w:spacing w:line="276" w:lineRule="auto"/>
              <w:jc w:val="right"/>
              <w:rPr>
                <w:color w:val="833C0B" w:themeColor="accent2" w:themeShade="80"/>
                <w:sz w:val="18"/>
                <w:szCs w:val="18"/>
              </w:rPr>
            </w:pPr>
            <w:r w:rsidRPr="00295486">
              <w:rPr>
                <w:color w:val="833C0B" w:themeColor="accent2" w:themeShade="80"/>
                <w:sz w:val="18"/>
                <w:szCs w:val="18"/>
              </w:rPr>
              <w:t>OP, OK</w:t>
            </w:r>
          </w:p>
        </w:tc>
      </w:tr>
      <w:tr w:rsidR="008036A0" w:rsidRPr="00FF6A10" w14:paraId="3B1B29AB" w14:textId="77777777" w:rsidTr="00200210">
        <w:tc>
          <w:tcPr>
            <w:tcW w:w="1305" w:type="dxa"/>
          </w:tcPr>
          <w:p w14:paraId="63E59E8A" w14:textId="77777777" w:rsidR="008036A0" w:rsidRPr="00295486" w:rsidRDefault="008036A0" w:rsidP="0038174C">
            <w:pPr>
              <w:spacing w:line="276" w:lineRule="auto"/>
              <w:rPr>
                <w:color w:val="1F4E79" w:themeColor="accent1" w:themeShade="80"/>
                <w:sz w:val="18"/>
                <w:szCs w:val="18"/>
              </w:rPr>
            </w:pPr>
            <w:r w:rsidRPr="00295486">
              <w:rPr>
                <w:color w:val="1F4E79" w:themeColor="accent1" w:themeShade="80"/>
                <w:sz w:val="18"/>
                <w:szCs w:val="18"/>
              </w:rPr>
              <w:t>Telgárt</w:t>
            </w:r>
          </w:p>
        </w:tc>
        <w:tc>
          <w:tcPr>
            <w:tcW w:w="850" w:type="dxa"/>
            <w:vAlign w:val="center"/>
          </w:tcPr>
          <w:p w14:paraId="7AFFF3E3" w14:textId="77777777" w:rsidR="008036A0" w:rsidRPr="00295486" w:rsidRDefault="008036A0" w:rsidP="0038174C">
            <w:pPr>
              <w:spacing w:line="276" w:lineRule="auto"/>
              <w:jc w:val="center"/>
              <w:rPr>
                <w:color w:val="1F4E79" w:themeColor="accent1" w:themeShade="80"/>
                <w:sz w:val="18"/>
                <w:szCs w:val="18"/>
              </w:rPr>
            </w:pPr>
            <w:r w:rsidRPr="00295486">
              <w:rPr>
                <w:color w:val="1F4E79" w:themeColor="accent1" w:themeShade="80"/>
                <w:sz w:val="18"/>
                <w:szCs w:val="18"/>
              </w:rPr>
              <w:t>BBSK,BR</w:t>
            </w:r>
          </w:p>
        </w:tc>
        <w:tc>
          <w:tcPr>
            <w:tcW w:w="993" w:type="dxa"/>
            <w:vAlign w:val="center"/>
          </w:tcPr>
          <w:p w14:paraId="483C50E9" w14:textId="77777777" w:rsidR="008036A0" w:rsidRPr="00295486" w:rsidRDefault="008036A0" w:rsidP="0038174C">
            <w:pPr>
              <w:spacing w:line="276" w:lineRule="auto"/>
              <w:jc w:val="right"/>
              <w:rPr>
                <w:color w:val="1F4E79" w:themeColor="accent1" w:themeShade="80"/>
                <w:sz w:val="18"/>
                <w:szCs w:val="18"/>
              </w:rPr>
            </w:pPr>
            <w:r w:rsidRPr="00295486">
              <w:rPr>
                <w:color w:val="1F4E79" w:themeColor="accent1" w:themeShade="80"/>
                <w:sz w:val="18"/>
                <w:szCs w:val="18"/>
              </w:rPr>
              <w:t>1 545</w:t>
            </w:r>
          </w:p>
        </w:tc>
        <w:tc>
          <w:tcPr>
            <w:tcW w:w="850" w:type="dxa"/>
            <w:vAlign w:val="center"/>
          </w:tcPr>
          <w:p w14:paraId="4CF8E7D1" w14:textId="77777777" w:rsidR="008036A0" w:rsidRPr="00295486" w:rsidRDefault="008036A0" w:rsidP="0038174C">
            <w:pPr>
              <w:spacing w:line="276" w:lineRule="auto"/>
              <w:jc w:val="right"/>
              <w:rPr>
                <w:color w:val="1F4E79" w:themeColor="accent1" w:themeShade="80"/>
                <w:sz w:val="18"/>
                <w:szCs w:val="18"/>
              </w:rPr>
            </w:pPr>
            <w:r w:rsidRPr="00295486">
              <w:rPr>
                <w:color w:val="1F4E79" w:themeColor="accent1" w:themeShade="80"/>
                <w:sz w:val="18"/>
                <w:szCs w:val="18"/>
              </w:rPr>
              <w:t>1534 (-)</w:t>
            </w:r>
          </w:p>
        </w:tc>
        <w:tc>
          <w:tcPr>
            <w:tcW w:w="992" w:type="dxa"/>
          </w:tcPr>
          <w:p w14:paraId="04A78388" w14:textId="29836B85" w:rsidR="008036A0" w:rsidRPr="00295486" w:rsidRDefault="007750BA" w:rsidP="0038174C">
            <w:pPr>
              <w:spacing w:line="276" w:lineRule="auto"/>
              <w:jc w:val="right"/>
              <w:rPr>
                <w:color w:val="1F4E79" w:themeColor="accent1" w:themeShade="80"/>
                <w:sz w:val="18"/>
                <w:szCs w:val="18"/>
              </w:rPr>
            </w:pPr>
            <w:r w:rsidRPr="00295486">
              <w:rPr>
                <w:color w:val="1F4E79" w:themeColor="accent1" w:themeShade="80"/>
                <w:sz w:val="18"/>
                <w:szCs w:val="18"/>
              </w:rPr>
              <w:t>1530 (-)</w:t>
            </w:r>
          </w:p>
        </w:tc>
        <w:tc>
          <w:tcPr>
            <w:tcW w:w="709" w:type="dxa"/>
          </w:tcPr>
          <w:p w14:paraId="03E2095B" w14:textId="516AAE24" w:rsidR="008036A0" w:rsidRPr="00295486" w:rsidRDefault="008036A0" w:rsidP="0038174C">
            <w:pPr>
              <w:spacing w:line="276" w:lineRule="auto"/>
              <w:jc w:val="right"/>
              <w:rPr>
                <w:color w:val="1F4E79" w:themeColor="accent1" w:themeShade="80"/>
                <w:sz w:val="18"/>
                <w:szCs w:val="18"/>
              </w:rPr>
            </w:pPr>
            <w:r w:rsidRPr="00295486">
              <w:rPr>
                <w:color w:val="1F4E79" w:themeColor="accent1" w:themeShade="80"/>
                <w:sz w:val="18"/>
                <w:szCs w:val="18"/>
              </w:rPr>
              <w:t>56,00</w:t>
            </w:r>
          </w:p>
        </w:tc>
        <w:tc>
          <w:tcPr>
            <w:tcW w:w="1134" w:type="dxa"/>
            <w:vAlign w:val="bottom"/>
          </w:tcPr>
          <w:p w14:paraId="118DA607" w14:textId="77777777" w:rsidR="008036A0" w:rsidRPr="00295486" w:rsidRDefault="008036A0" w:rsidP="0038174C">
            <w:pPr>
              <w:spacing w:line="276" w:lineRule="auto"/>
              <w:jc w:val="right"/>
              <w:rPr>
                <w:rFonts w:cs="Arial"/>
                <w:color w:val="1F4E79" w:themeColor="accent1" w:themeShade="80"/>
                <w:sz w:val="18"/>
                <w:szCs w:val="18"/>
              </w:rPr>
            </w:pPr>
            <w:r w:rsidRPr="00295486">
              <w:rPr>
                <w:rFonts w:cs="Arial"/>
                <w:color w:val="1F4E79" w:themeColor="accent1" w:themeShade="80"/>
                <w:sz w:val="18"/>
                <w:szCs w:val="18"/>
              </w:rPr>
              <w:t>27,39</w:t>
            </w:r>
          </w:p>
        </w:tc>
        <w:tc>
          <w:tcPr>
            <w:tcW w:w="851" w:type="dxa"/>
            <w:vAlign w:val="center"/>
          </w:tcPr>
          <w:p w14:paraId="02271657" w14:textId="77777777" w:rsidR="008036A0" w:rsidRPr="00295486" w:rsidRDefault="008036A0" w:rsidP="0038174C">
            <w:pPr>
              <w:spacing w:line="276" w:lineRule="auto"/>
              <w:jc w:val="right"/>
              <w:rPr>
                <w:color w:val="1F4E79" w:themeColor="accent1" w:themeShade="80"/>
                <w:sz w:val="18"/>
                <w:szCs w:val="18"/>
              </w:rPr>
            </w:pPr>
            <w:r w:rsidRPr="00295486">
              <w:rPr>
                <w:color w:val="1F4E79" w:themeColor="accent1" w:themeShade="80"/>
                <w:sz w:val="18"/>
                <w:szCs w:val="18"/>
              </w:rPr>
              <w:t>5,2937</w:t>
            </w:r>
          </w:p>
        </w:tc>
        <w:tc>
          <w:tcPr>
            <w:tcW w:w="1417" w:type="dxa"/>
            <w:vAlign w:val="center"/>
          </w:tcPr>
          <w:p w14:paraId="3090B922" w14:textId="77777777" w:rsidR="008036A0" w:rsidRPr="00295486" w:rsidRDefault="008036A0" w:rsidP="0038174C">
            <w:pPr>
              <w:spacing w:line="276" w:lineRule="auto"/>
              <w:jc w:val="right"/>
              <w:rPr>
                <w:color w:val="1F4E79" w:themeColor="accent1" w:themeShade="80"/>
                <w:sz w:val="18"/>
                <w:szCs w:val="18"/>
              </w:rPr>
            </w:pPr>
            <w:r w:rsidRPr="00295486">
              <w:rPr>
                <w:color w:val="1F4E79" w:themeColor="accent1" w:themeShade="80"/>
                <w:sz w:val="18"/>
                <w:szCs w:val="18"/>
              </w:rPr>
              <w:t>NP, OK</w:t>
            </w:r>
          </w:p>
        </w:tc>
      </w:tr>
      <w:tr w:rsidR="008036A0" w:rsidRPr="00FF6A10" w14:paraId="03DE5699" w14:textId="77777777" w:rsidTr="00200210">
        <w:tc>
          <w:tcPr>
            <w:tcW w:w="1305" w:type="dxa"/>
          </w:tcPr>
          <w:p w14:paraId="1C1A4736" w14:textId="77777777" w:rsidR="008036A0" w:rsidRPr="004A4B83" w:rsidRDefault="008036A0" w:rsidP="0038174C">
            <w:pPr>
              <w:spacing w:line="276" w:lineRule="auto"/>
              <w:rPr>
                <w:b/>
                <w:sz w:val="18"/>
                <w:szCs w:val="18"/>
              </w:rPr>
            </w:pPr>
            <w:r w:rsidRPr="004A4B83">
              <w:rPr>
                <w:b/>
                <w:sz w:val="18"/>
                <w:szCs w:val="18"/>
              </w:rPr>
              <w:t>SPOLU obce</w:t>
            </w:r>
          </w:p>
        </w:tc>
        <w:tc>
          <w:tcPr>
            <w:tcW w:w="850" w:type="dxa"/>
            <w:vAlign w:val="center"/>
          </w:tcPr>
          <w:p w14:paraId="372A9E09" w14:textId="77777777" w:rsidR="008036A0" w:rsidRPr="00415C60" w:rsidRDefault="008036A0" w:rsidP="0038174C">
            <w:pPr>
              <w:spacing w:line="276" w:lineRule="auto"/>
              <w:jc w:val="center"/>
              <w:rPr>
                <w:sz w:val="18"/>
                <w:szCs w:val="18"/>
              </w:rPr>
            </w:pPr>
          </w:p>
        </w:tc>
        <w:tc>
          <w:tcPr>
            <w:tcW w:w="993" w:type="dxa"/>
            <w:vAlign w:val="center"/>
          </w:tcPr>
          <w:p w14:paraId="78FD9AAE" w14:textId="77777777" w:rsidR="008036A0" w:rsidRPr="00415C60" w:rsidRDefault="008036A0" w:rsidP="0038174C">
            <w:pPr>
              <w:spacing w:line="276" w:lineRule="auto"/>
              <w:jc w:val="right"/>
              <w:rPr>
                <w:sz w:val="18"/>
                <w:szCs w:val="18"/>
              </w:rPr>
            </w:pPr>
            <w:r w:rsidRPr="00415C60">
              <w:rPr>
                <w:sz w:val="18"/>
                <w:szCs w:val="18"/>
              </w:rPr>
              <w:t>34 881</w:t>
            </w:r>
          </w:p>
        </w:tc>
        <w:tc>
          <w:tcPr>
            <w:tcW w:w="850" w:type="dxa"/>
            <w:vAlign w:val="center"/>
          </w:tcPr>
          <w:p w14:paraId="3423F621" w14:textId="77777777" w:rsidR="008036A0" w:rsidRPr="00415C60" w:rsidRDefault="008036A0" w:rsidP="0038174C">
            <w:pPr>
              <w:spacing w:line="276" w:lineRule="auto"/>
              <w:jc w:val="right"/>
              <w:rPr>
                <w:sz w:val="18"/>
                <w:szCs w:val="18"/>
              </w:rPr>
            </w:pPr>
            <w:r w:rsidRPr="00415C60">
              <w:rPr>
                <w:sz w:val="18"/>
                <w:szCs w:val="18"/>
              </w:rPr>
              <w:t>34 852 (-)</w:t>
            </w:r>
          </w:p>
        </w:tc>
        <w:tc>
          <w:tcPr>
            <w:tcW w:w="992" w:type="dxa"/>
          </w:tcPr>
          <w:p w14:paraId="70988110" w14:textId="7FB66F23" w:rsidR="008036A0" w:rsidRPr="00C86F90" w:rsidRDefault="00C86F90" w:rsidP="0038174C">
            <w:pPr>
              <w:spacing w:line="276" w:lineRule="auto"/>
              <w:jc w:val="right"/>
              <w:rPr>
                <w:rFonts w:ascii="Calibri" w:hAnsi="Calibri"/>
                <w:color w:val="000000"/>
                <w:sz w:val="18"/>
                <w:szCs w:val="18"/>
              </w:rPr>
            </w:pPr>
            <w:r>
              <w:rPr>
                <w:rFonts w:ascii="Calibri" w:hAnsi="Calibri"/>
                <w:color w:val="000000"/>
                <w:sz w:val="18"/>
                <w:szCs w:val="18"/>
              </w:rPr>
              <w:t>35517</w:t>
            </w:r>
          </w:p>
        </w:tc>
        <w:tc>
          <w:tcPr>
            <w:tcW w:w="709" w:type="dxa"/>
          </w:tcPr>
          <w:p w14:paraId="62A61FA3" w14:textId="296DB3D3" w:rsidR="008036A0" w:rsidRPr="00415C60" w:rsidRDefault="008036A0" w:rsidP="0038174C">
            <w:pPr>
              <w:spacing w:line="276" w:lineRule="auto"/>
              <w:jc w:val="right"/>
              <w:rPr>
                <w:sz w:val="18"/>
                <w:szCs w:val="18"/>
              </w:rPr>
            </w:pPr>
            <w:r w:rsidRPr="00415C60">
              <w:rPr>
                <w:sz w:val="18"/>
                <w:szCs w:val="18"/>
              </w:rPr>
              <w:t>529,70</w:t>
            </w:r>
          </w:p>
        </w:tc>
        <w:tc>
          <w:tcPr>
            <w:tcW w:w="1134" w:type="dxa"/>
            <w:vAlign w:val="bottom"/>
          </w:tcPr>
          <w:p w14:paraId="1A188D47" w14:textId="77777777" w:rsidR="008036A0" w:rsidRPr="00F76DB0" w:rsidRDefault="008036A0" w:rsidP="0038174C">
            <w:pPr>
              <w:spacing w:line="276" w:lineRule="auto"/>
              <w:jc w:val="right"/>
              <w:rPr>
                <w:rFonts w:cs="Arial"/>
                <w:color w:val="000000"/>
                <w:sz w:val="18"/>
                <w:szCs w:val="18"/>
              </w:rPr>
            </w:pPr>
            <w:r w:rsidRPr="00F76DB0">
              <w:rPr>
                <w:rFonts w:cs="Arial"/>
                <w:color w:val="000000"/>
                <w:sz w:val="18"/>
                <w:szCs w:val="18"/>
              </w:rPr>
              <w:t>65,80</w:t>
            </w:r>
          </w:p>
        </w:tc>
        <w:tc>
          <w:tcPr>
            <w:tcW w:w="851" w:type="dxa"/>
            <w:vAlign w:val="center"/>
          </w:tcPr>
          <w:p w14:paraId="3AF0A733" w14:textId="77777777" w:rsidR="008036A0" w:rsidRPr="00415C60" w:rsidRDefault="008036A0" w:rsidP="0038174C">
            <w:pPr>
              <w:spacing w:line="276" w:lineRule="auto"/>
              <w:jc w:val="right"/>
              <w:rPr>
                <w:sz w:val="18"/>
                <w:szCs w:val="18"/>
              </w:rPr>
            </w:pPr>
          </w:p>
        </w:tc>
        <w:tc>
          <w:tcPr>
            <w:tcW w:w="1417" w:type="dxa"/>
            <w:vAlign w:val="center"/>
          </w:tcPr>
          <w:p w14:paraId="3D4B112A" w14:textId="77777777" w:rsidR="008036A0" w:rsidRPr="00415C60" w:rsidRDefault="008036A0" w:rsidP="0038174C">
            <w:pPr>
              <w:spacing w:line="276" w:lineRule="auto"/>
              <w:jc w:val="right"/>
              <w:rPr>
                <w:sz w:val="18"/>
                <w:szCs w:val="18"/>
              </w:rPr>
            </w:pPr>
          </w:p>
        </w:tc>
      </w:tr>
      <w:tr w:rsidR="008036A0" w:rsidRPr="00FF6A10" w14:paraId="2B5ACFE4" w14:textId="77777777" w:rsidTr="00200210">
        <w:tc>
          <w:tcPr>
            <w:tcW w:w="1305" w:type="dxa"/>
          </w:tcPr>
          <w:p w14:paraId="03ACD300" w14:textId="77777777" w:rsidR="008036A0" w:rsidRPr="004A4B83" w:rsidRDefault="008036A0" w:rsidP="0038174C">
            <w:pPr>
              <w:spacing w:line="276" w:lineRule="auto"/>
              <w:rPr>
                <w:color w:val="833C0B" w:themeColor="accent2" w:themeShade="80"/>
                <w:sz w:val="18"/>
                <w:szCs w:val="18"/>
              </w:rPr>
            </w:pPr>
            <w:r w:rsidRPr="004A4B83">
              <w:rPr>
                <w:color w:val="833C0B" w:themeColor="accent2" w:themeShade="80"/>
                <w:sz w:val="18"/>
                <w:szCs w:val="18"/>
              </w:rPr>
              <w:t>Spišská Nová Ves</w:t>
            </w:r>
          </w:p>
        </w:tc>
        <w:tc>
          <w:tcPr>
            <w:tcW w:w="850" w:type="dxa"/>
            <w:vAlign w:val="center"/>
          </w:tcPr>
          <w:p w14:paraId="182748F2" w14:textId="77777777" w:rsidR="008036A0" w:rsidRPr="004A4B83" w:rsidRDefault="008036A0" w:rsidP="0038174C">
            <w:pPr>
              <w:spacing w:line="276" w:lineRule="auto"/>
              <w:jc w:val="center"/>
              <w:rPr>
                <w:color w:val="833C0B" w:themeColor="accent2" w:themeShade="80"/>
                <w:sz w:val="18"/>
                <w:szCs w:val="18"/>
              </w:rPr>
            </w:pPr>
            <w:r w:rsidRPr="004A4B83">
              <w:rPr>
                <w:color w:val="833C0B" w:themeColor="accent2" w:themeShade="80"/>
                <w:sz w:val="18"/>
                <w:szCs w:val="18"/>
              </w:rPr>
              <w:t>KSK, SN</w:t>
            </w:r>
          </w:p>
        </w:tc>
        <w:tc>
          <w:tcPr>
            <w:tcW w:w="993" w:type="dxa"/>
            <w:vAlign w:val="center"/>
          </w:tcPr>
          <w:p w14:paraId="36262A41" w14:textId="77777777"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37 767</w:t>
            </w:r>
          </w:p>
        </w:tc>
        <w:tc>
          <w:tcPr>
            <w:tcW w:w="850" w:type="dxa"/>
            <w:vAlign w:val="center"/>
          </w:tcPr>
          <w:p w14:paraId="712FDE3F" w14:textId="77777777"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37 795 (+)</w:t>
            </w:r>
          </w:p>
        </w:tc>
        <w:tc>
          <w:tcPr>
            <w:tcW w:w="992" w:type="dxa"/>
          </w:tcPr>
          <w:p w14:paraId="74795C94" w14:textId="772F44D6" w:rsidR="008036A0" w:rsidRPr="004A4B83" w:rsidRDefault="00C86F90" w:rsidP="0038174C">
            <w:pPr>
              <w:spacing w:line="276" w:lineRule="auto"/>
              <w:jc w:val="right"/>
              <w:rPr>
                <w:color w:val="833C0B" w:themeColor="accent2" w:themeShade="80"/>
                <w:sz w:val="18"/>
                <w:szCs w:val="18"/>
              </w:rPr>
            </w:pPr>
            <w:r w:rsidRPr="004A4B83">
              <w:rPr>
                <w:color w:val="833C0B" w:themeColor="accent2" w:themeShade="80"/>
                <w:sz w:val="18"/>
                <w:szCs w:val="18"/>
              </w:rPr>
              <w:t>37472</w:t>
            </w:r>
          </w:p>
        </w:tc>
        <w:tc>
          <w:tcPr>
            <w:tcW w:w="709" w:type="dxa"/>
          </w:tcPr>
          <w:p w14:paraId="546E0089" w14:textId="259C33BB"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66,70</w:t>
            </w:r>
          </w:p>
        </w:tc>
        <w:tc>
          <w:tcPr>
            <w:tcW w:w="1134" w:type="dxa"/>
            <w:vAlign w:val="bottom"/>
          </w:tcPr>
          <w:p w14:paraId="1B17661B" w14:textId="77777777" w:rsidR="008036A0" w:rsidRPr="004A4B83" w:rsidRDefault="008036A0" w:rsidP="0038174C">
            <w:pPr>
              <w:spacing w:line="276" w:lineRule="auto"/>
              <w:jc w:val="right"/>
              <w:rPr>
                <w:rFonts w:cs="Arial"/>
                <w:color w:val="833C0B" w:themeColor="accent2" w:themeShade="80"/>
                <w:sz w:val="18"/>
                <w:szCs w:val="18"/>
              </w:rPr>
            </w:pPr>
            <w:r w:rsidRPr="004A4B83">
              <w:rPr>
                <w:rFonts w:cs="Arial"/>
                <w:color w:val="833C0B" w:themeColor="accent2" w:themeShade="80"/>
                <w:sz w:val="18"/>
                <w:szCs w:val="18"/>
              </w:rPr>
              <w:t>566,64</w:t>
            </w:r>
          </w:p>
        </w:tc>
        <w:tc>
          <w:tcPr>
            <w:tcW w:w="851" w:type="dxa"/>
            <w:vAlign w:val="center"/>
          </w:tcPr>
          <w:p w14:paraId="6BB4E795" w14:textId="77777777"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x</w:t>
            </w:r>
          </w:p>
        </w:tc>
        <w:tc>
          <w:tcPr>
            <w:tcW w:w="1417" w:type="dxa"/>
            <w:vAlign w:val="center"/>
          </w:tcPr>
          <w:p w14:paraId="16252DCD" w14:textId="77777777" w:rsidR="008036A0" w:rsidRPr="004A4B83" w:rsidRDefault="008036A0" w:rsidP="0038174C">
            <w:pPr>
              <w:spacing w:line="276" w:lineRule="auto"/>
              <w:jc w:val="right"/>
              <w:rPr>
                <w:color w:val="833C0B" w:themeColor="accent2" w:themeShade="80"/>
                <w:sz w:val="18"/>
                <w:szCs w:val="18"/>
              </w:rPr>
            </w:pPr>
            <w:r w:rsidRPr="004A4B83">
              <w:rPr>
                <w:color w:val="833C0B" w:themeColor="accent2" w:themeShade="80"/>
                <w:sz w:val="18"/>
                <w:szCs w:val="18"/>
              </w:rPr>
              <w:t>OP, OK</w:t>
            </w:r>
          </w:p>
        </w:tc>
      </w:tr>
      <w:tr w:rsidR="008036A0" w:rsidRPr="00FF6A10" w14:paraId="0A38EA8E" w14:textId="77777777" w:rsidTr="00200210">
        <w:tc>
          <w:tcPr>
            <w:tcW w:w="1305" w:type="dxa"/>
          </w:tcPr>
          <w:p w14:paraId="55E61D11" w14:textId="77777777" w:rsidR="008036A0" w:rsidRPr="004A4B83" w:rsidRDefault="008036A0" w:rsidP="0038174C">
            <w:pPr>
              <w:spacing w:line="276" w:lineRule="auto"/>
              <w:rPr>
                <w:b/>
                <w:sz w:val="18"/>
                <w:szCs w:val="18"/>
              </w:rPr>
            </w:pPr>
            <w:r w:rsidRPr="004A4B83">
              <w:rPr>
                <w:b/>
                <w:sz w:val="18"/>
                <w:szCs w:val="18"/>
              </w:rPr>
              <w:t>SPOLU mesto a obce</w:t>
            </w:r>
          </w:p>
        </w:tc>
        <w:tc>
          <w:tcPr>
            <w:tcW w:w="850" w:type="dxa"/>
            <w:vAlign w:val="center"/>
          </w:tcPr>
          <w:p w14:paraId="77F5FAB3" w14:textId="77777777" w:rsidR="008036A0" w:rsidRPr="00415C60" w:rsidRDefault="008036A0" w:rsidP="0038174C">
            <w:pPr>
              <w:spacing w:line="276" w:lineRule="auto"/>
              <w:jc w:val="center"/>
              <w:rPr>
                <w:sz w:val="18"/>
                <w:szCs w:val="18"/>
              </w:rPr>
            </w:pPr>
          </w:p>
        </w:tc>
        <w:tc>
          <w:tcPr>
            <w:tcW w:w="993" w:type="dxa"/>
            <w:vAlign w:val="center"/>
          </w:tcPr>
          <w:p w14:paraId="329FA9F4" w14:textId="77777777" w:rsidR="008036A0" w:rsidRPr="00415C60" w:rsidRDefault="008036A0" w:rsidP="0038174C">
            <w:pPr>
              <w:spacing w:line="276" w:lineRule="auto"/>
              <w:jc w:val="right"/>
              <w:rPr>
                <w:sz w:val="18"/>
                <w:szCs w:val="18"/>
              </w:rPr>
            </w:pPr>
            <w:r w:rsidRPr="00415C60">
              <w:rPr>
                <w:sz w:val="18"/>
                <w:szCs w:val="18"/>
              </w:rPr>
              <w:t>72 648</w:t>
            </w:r>
          </w:p>
        </w:tc>
        <w:tc>
          <w:tcPr>
            <w:tcW w:w="850" w:type="dxa"/>
            <w:vAlign w:val="center"/>
          </w:tcPr>
          <w:p w14:paraId="3247B21C" w14:textId="77777777" w:rsidR="008036A0" w:rsidRPr="00415C60" w:rsidRDefault="008036A0" w:rsidP="0038174C">
            <w:pPr>
              <w:spacing w:line="276" w:lineRule="auto"/>
              <w:jc w:val="right"/>
              <w:rPr>
                <w:sz w:val="18"/>
                <w:szCs w:val="18"/>
              </w:rPr>
            </w:pPr>
            <w:r w:rsidRPr="00415C60">
              <w:rPr>
                <w:sz w:val="18"/>
                <w:szCs w:val="18"/>
              </w:rPr>
              <w:t>72 647</w:t>
            </w:r>
          </w:p>
        </w:tc>
        <w:tc>
          <w:tcPr>
            <w:tcW w:w="992" w:type="dxa"/>
          </w:tcPr>
          <w:p w14:paraId="60582B5A" w14:textId="4BD16A10" w:rsidR="008036A0" w:rsidRPr="00415C60" w:rsidRDefault="00C86F90" w:rsidP="0038174C">
            <w:pPr>
              <w:spacing w:line="276" w:lineRule="auto"/>
              <w:jc w:val="right"/>
              <w:rPr>
                <w:sz w:val="18"/>
                <w:szCs w:val="18"/>
              </w:rPr>
            </w:pPr>
            <w:r>
              <w:rPr>
                <w:sz w:val="18"/>
                <w:szCs w:val="18"/>
              </w:rPr>
              <w:t>72989</w:t>
            </w:r>
          </w:p>
        </w:tc>
        <w:tc>
          <w:tcPr>
            <w:tcW w:w="709" w:type="dxa"/>
          </w:tcPr>
          <w:p w14:paraId="0388A60E" w14:textId="6EE19D30" w:rsidR="008036A0" w:rsidRPr="00415C60" w:rsidRDefault="008036A0" w:rsidP="0038174C">
            <w:pPr>
              <w:spacing w:line="276" w:lineRule="auto"/>
              <w:jc w:val="right"/>
              <w:rPr>
                <w:sz w:val="18"/>
                <w:szCs w:val="18"/>
              </w:rPr>
            </w:pPr>
            <w:r w:rsidRPr="00415C60">
              <w:rPr>
                <w:sz w:val="18"/>
                <w:szCs w:val="18"/>
              </w:rPr>
              <w:t>596,40</w:t>
            </w:r>
          </w:p>
        </w:tc>
        <w:tc>
          <w:tcPr>
            <w:tcW w:w="1134" w:type="dxa"/>
            <w:vAlign w:val="bottom"/>
          </w:tcPr>
          <w:p w14:paraId="2C571E4F" w14:textId="77777777" w:rsidR="008036A0" w:rsidRPr="00F76DB0" w:rsidRDefault="008036A0" w:rsidP="0038174C">
            <w:pPr>
              <w:spacing w:line="276" w:lineRule="auto"/>
              <w:jc w:val="right"/>
              <w:rPr>
                <w:rFonts w:cs="Arial"/>
                <w:color w:val="000000"/>
                <w:sz w:val="18"/>
                <w:szCs w:val="18"/>
              </w:rPr>
            </w:pPr>
            <w:r w:rsidRPr="00F76DB0">
              <w:rPr>
                <w:rFonts w:cs="Arial"/>
                <w:color w:val="000000"/>
                <w:sz w:val="18"/>
                <w:szCs w:val="18"/>
              </w:rPr>
              <w:t>121,81</w:t>
            </w:r>
          </w:p>
        </w:tc>
        <w:tc>
          <w:tcPr>
            <w:tcW w:w="851" w:type="dxa"/>
            <w:vAlign w:val="center"/>
          </w:tcPr>
          <w:p w14:paraId="25329185" w14:textId="77777777" w:rsidR="008036A0" w:rsidRPr="00415C60" w:rsidRDefault="008036A0" w:rsidP="0038174C">
            <w:pPr>
              <w:spacing w:line="276" w:lineRule="auto"/>
              <w:jc w:val="right"/>
              <w:rPr>
                <w:sz w:val="18"/>
                <w:szCs w:val="18"/>
              </w:rPr>
            </w:pPr>
          </w:p>
        </w:tc>
        <w:tc>
          <w:tcPr>
            <w:tcW w:w="1417" w:type="dxa"/>
            <w:vAlign w:val="center"/>
          </w:tcPr>
          <w:p w14:paraId="20056679" w14:textId="77777777" w:rsidR="008036A0" w:rsidRPr="00415C60" w:rsidRDefault="008036A0" w:rsidP="005D72F9">
            <w:pPr>
              <w:keepNext/>
              <w:spacing w:line="276" w:lineRule="auto"/>
              <w:jc w:val="right"/>
              <w:rPr>
                <w:sz w:val="18"/>
                <w:szCs w:val="18"/>
              </w:rPr>
            </w:pPr>
          </w:p>
        </w:tc>
      </w:tr>
    </w:tbl>
    <w:p w14:paraId="50D92E0B" w14:textId="4B1BB163" w:rsidR="008036A0" w:rsidRPr="005D72F9" w:rsidRDefault="005D72F9" w:rsidP="005D72F9">
      <w:pPr>
        <w:pStyle w:val="Popis"/>
        <w:rPr>
          <w:rFonts w:cs="MDDKIG+TimesNewRoman"/>
          <w:b/>
          <w:i w:val="0"/>
          <w:color w:val="auto"/>
        </w:rPr>
      </w:pPr>
      <w:r w:rsidRPr="005D72F9">
        <w:rPr>
          <w:b/>
          <w:i w:val="0"/>
          <w:color w:val="auto"/>
        </w:rPr>
        <w:t xml:space="preserve">Tabuľka </w:t>
      </w:r>
      <w:r w:rsidR="00FF36C8">
        <w:rPr>
          <w:b/>
          <w:i w:val="0"/>
          <w:color w:val="auto"/>
        </w:rPr>
        <w:fldChar w:fldCharType="begin"/>
      </w:r>
      <w:r w:rsidR="00FF36C8">
        <w:rPr>
          <w:b/>
          <w:i w:val="0"/>
          <w:color w:val="auto"/>
        </w:rPr>
        <w:instrText xml:space="preserve"> SEQ Tabuľka \* ARABIC </w:instrText>
      </w:r>
      <w:r w:rsidR="00FF36C8">
        <w:rPr>
          <w:b/>
          <w:i w:val="0"/>
          <w:color w:val="auto"/>
        </w:rPr>
        <w:fldChar w:fldCharType="separate"/>
      </w:r>
      <w:r w:rsidR="00FF36C8">
        <w:rPr>
          <w:b/>
          <w:i w:val="0"/>
          <w:noProof/>
          <w:color w:val="auto"/>
        </w:rPr>
        <w:t>1</w:t>
      </w:r>
      <w:r w:rsidR="00FF36C8">
        <w:rPr>
          <w:b/>
          <w:i w:val="0"/>
          <w:color w:val="auto"/>
        </w:rPr>
        <w:fldChar w:fldCharType="end"/>
      </w:r>
      <w:r w:rsidRPr="005D72F9">
        <w:rPr>
          <w:b/>
          <w:i w:val="0"/>
          <w:color w:val="auto"/>
        </w:rPr>
        <w:t>. . Prehľad obcí v Slovenskom raji a ich základné charakteristiky. Zdroj: aktualizované zo Stratégie rozvoja územia Slovenský raj s dôrazom na rozvoj cestovného ruchu na obdobie rokov 2015-2020. Zdroj: Stratégia</w:t>
      </w:r>
    </w:p>
    <w:p w14:paraId="370E669C" w14:textId="77777777" w:rsidR="001F3C15" w:rsidRPr="00320AF8" w:rsidRDefault="001F3C15" w:rsidP="0038174C">
      <w:pPr>
        <w:spacing w:line="276" w:lineRule="auto"/>
        <w:rPr>
          <w:b/>
          <w:sz w:val="18"/>
          <w:szCs w:val="18"/>
        </w:rPr>
      </w:pPr>
      <w:r w:rsidRPr="00320AF8">
        <w:rPr>
          <w:b/>
          <w:sz w:val="18"/>
          <w:szCs w:val="18"/>
        </w:rPr>
        <w:t>Legenda:</w:t>
      </w:r>
    </w:p>
    <w:p w14:paraId="355DC4BF" w14:textId="2CCCA9D3" w:rsidR="001F3C15" w:rsidRPr="00320AF8" w:rsidRDefault="001F3C15" w:rsidP="0038174C">
      <w:pPr>
        <w:spacing w:line="276" w:lineRule="auto"/>
        <w:rPr>
          <w:sz w:val="18"/>
          <w:szCs w:val="18"/>
        </w:rPr>
      </w:pPr>
      <w:r w:rsidRPr="00320AF8">
        <w:rPr>
          <w:sz w:val="18"/>
          <w:szCs w:val="18"/>
        </w:rPr>
        <w:t>KSK – Košický samosprávny kraj</w:t>
      </w:r>
      <w:r w:rsidR="00F56983">
        <w:rPr>
          <w:sz w:val="18"/>
          <w:szCs w:val="18"/>
        </w:rPr>
        <w:t xml:space="preserve">, </w:t>
      </w:r>
      <w:r w:rsidRPr="00320AF8">
        <w:rPr>
          <w:sz w:val="18"/>
          <w:szCs w:val="18"/>
        </w:rPr>
        <w:t>PSK – Prešovský samosprávny kraj</w:t>
      </w:r>
      <w:r w:rsidR="00F56983">
        <w:rPr>
          <w:sz w:val="18"/>
          <w:szCs w:val="18"/>
        </w:rPr>
        <w:t xml:space="preserve">, </w:t>
      </w:r>
      <w:r w:rsidRPr="00320AF8">
        <w:rPr>
          <w:sz w:val="18"/>
          <w:szCs w:val="18"/>
        </w:rPr>
        <w:t>BBSK – Banskobystrický samosprávny kraj</w:t>
      </w:r>
    </w:p>
    <w:p w14:paraId="6D315A4E" w14:textId="186F1328" w:rsidR="001F3C15" w:rsidRPr="00320AF8" w:rsidRDefault="001F3C15" w:rsidP="0038174C">
      <w:pPr>
        <w:spacing w:line="276" w:lineRule="auto"/>
        <w:rPr>
          <w:sz w:val="18"/>
          <w:szCs w:val="18"/>
        </w:rPr>
      </w:pPr>
      <w:r w:rsidRPr="00320AF8">
        <w:rPr>
          <w:sz w:val="18"/>
          <w:szCs w:val="18"/>
        </w:rPr>
        <w:t>SN – Spišská Nová Ves</w:t>
      </w:r>
      <w:r w:rsidR="00F56983">
        <w:rPr>
          <w:sz w:val="18"/>
          <w:szCs w:val="18"/>
        </w:rPr>
        <w:t xml:space="preserve">, </w:t>
      </w:r>
      <w:r w:rsidRPr="00320AF8">
        <w:rPr>
          <w:sz w:val="18"/>
          <w:szCs w:val="18"/>
        </w:rPr>
        <w:t>RV – Rožňava</w:t>
      </w:r>
      <w:r w:rsidR="00F56983">
        <w:rPr>
          <w:sz w:val="18"/>
          <w:szCs w:val="18"/>
        </w:rPr>
        <w:t xml:space="preserve">, </w:t>
      </w:r>
      <w:r w:rsidRPr="00320AF8">
        <w:rPr>
          <w:sz w:val="18"/>
          <w:szCs w:val="18"/>
        </w:rPr>
        <w:t>PP – Poprad</w:t>
      </w:r>
      <w:r w:rsidR="00F56983">
        <w:rPr>
          <w:sz w:val="18"/>
          <w:szCs w:val="18"/>
        </w:rPr>
        <w:t xml:space="preserve">, </w:t>
      </w:r>
      <w:r w:rsidRPr="00320AF8">
        <w:rPr>
          <w:sz w:val="18"/>
          <w:szCs w:val="18"/>
        </w:rPr>
        <w:t>BR – Brezno</w:t>
      </w:r>
    </w:p>
    <w:p w14:paraId="57EB6B59" w14:textId="77777777" w:rsidR="00F56983" w:rsidRDefault="001F3C15" w:rsidP="0038174C">
      <w:pPr>
        <w:spacing w:line="276" w:lineRule="auto"/>
        <w:rPr>
          <w:sz w:val="18"/>
          <w:szCs w:val="18"/>
        </w:rPr>
      </w:pPr>
      <w:r w:rsidRPr="00320AF8">
        <w:rPr>
          <w:sz w:val="18"/>
          <w:szCs w:val="18"/>
        </w:rPr>
        <w:t>NP – Národný park Slovenský raj</w:t>
      </w:r>
      <w:r w:rsidR="00F56983">
        <w:rPr>
          <w:sz w:val="18"/>
          <w:szCs w:val="18"/>
        </w:rPr>
        <w:t xml:space="preserve">, </w:t>
      </w:r>
      <w:r w:rsidRPr="00320AF8">
        <w:rPr>
          <w:sz w:val="18"/>
          <w:szCs w:val="18"/>
        </w:rPr>
        <w:t>OP – Ochranné pásmo Národného parku Slovenský ra</w:t>
      </w:r>
      <w:r w:rsidR="00F56983">
        <w:rPr>
          <w:sz w:val="18"/>
          <w:szCs w:val="18"/>
        </w:rPr>
        <w:t>j</w:t>
      </w:r>
    </w:p>
    <w:p w14:paraId="0CC83E9F" w14:textId="2FA3E267" w:rsidR="00F56206" w:rsidRDefault="001F3C15" w:rsidP="0038174C">
      <w:pPr>
        <w:spacing w:line="276" w:lineRule="auto"/>
        <w:rPr>
          <w:sz w:val="18"/>
          <w:szCs w:val="18"/>
        </w:rPr>
      </w:pPr>
      <w:r w:rsidRPr="00320AF8">
        <w:rPr>
          <w:sz w:val="18"/>
          <w:szCs w:val="18"/>
        </w:rPr>
        <w:t>OK – ostatné územie katastra mimo Národného parku Slovenský raj</w:t>
      </w:r>
    </w:p>
    <w:p w14:paraId="3D31486F" w14:textId="77777777" w:rsidR="00871622" w:rsidRPr="00F56206" w:rsidRDefault="00871622" w:rsidP="0038174C">
      <w:pPr>
        <w:spacing w:line="276" w:lineRule="auto"/>
        <w:rPr>
          <w:sz w:val="18"/>
          <w:szCs w:val="18"/>
        </w:rPr>
      </w:pPr>
    </w:p>
    <w:p w14:paraId="1F45FC71" w14:textId="1E58F6DF" w:rsidR="001E134B" w:rsidRPr="00760F30" w:rsidRDefault="001F3C15" w:rsidP="0038174C">
      <w:pPr>
        <w:keepNext/>
        <w:spacing w:line="276" w:lineRule="auto"/>
        <w:rPr>
          <w:color w:val="C45911" w:themeColor="accent2" w:themeShade="BF"/>
          <w:sz w:val="18"/>
          <w:szCs w:val="18"/>
        </w:rPr>
      </w:pPr>
      <w:r w:rsidRPr="00295486">
        <w:rPr>
          <w:noProof/>
          <w:color w:val="C45911" w:themeColor="accent2" w:themeShade="BF"/>
          <w:lang w:val="en-GB" w:eastAsia="en-GB"/>
        </w:rPr>
        <w:lastRenderedPageBreak/>
        <w:drawing>
          <wp:inline distT="0" distB="0" distL="0" distR="0" wp14:anchorId="06DD4AD5" wp14:editId="5C8CD982">
            <wp:extent cx="5638800" cy="3781425"/>
            <wp:effectExtent l="0" t="0" r="0" b="9525"/>
            <wp:docPr id="3" name="Graf 3">
              <a:extLst xmlns:a="http://schemas.openxmlformats.org/drawingml/2006/main">
                <a:ext uri="{FF2B5EF4-FFF2-40B4-BE49-F238E27FC236}">
                  <a16:creationId xmlns:a16="http://schemas.microsoft.com/office/drawing/2014/main" id="{027CE733-FE23-45A5-A62A-55D85C7129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0F7184" w:rsidRPr="0072608D">
        <w:rPr>
          <w:b/>
          <w:sz w:val="18"/>
          <w:szCs w:val="18"/>
        </w:rPr>
        <w:t xml:space="preserve">Graf </w:t>
      </w:r>
      <w:r w:rsidR="000F7184" w:rsidRPr="0072608D">
        <w:rPr>
          <w:b/>
          <w:sz w:val="18"/>
          <w:szCs w:val="18"/>
        </w:rPr>
        <w:fldChar w:fldCharType="begin"/>
      </w:r>
      <w:r w:rsidR="000F7184" w:rsidRPr="0072608D">
        <w:rPr>
          <w:b/>
          <w:sz w:val="18"/>
          <w:szCs w:val="18"/>
        </w:rPr>
        <w:instrText xml:space="preserve"> SEQ Graf \* ARABIC </w:instrText>
      </w:r>
      <w:r w:rsidR="000F7184" w:rsidRPr="0072608D">
        <w:rPr>
          <w:b/>
          <w:sz w:val="18"/>
          <w:szCs w:val="18"/>
        </w:rPr>
        <w:fldChar w:fldCharType="separate"/>
      </w:r>
      <w:r w:rsidR="00076161">
        <w:rPr>
          <w:b/>
          <w:noProof/>
          <w:sz w:val="18"/>
          <w:szCs w:val="18"/>
        </w:rPr>
        <w:t>1</w:t>
      </w:r>
      <w:r w:rsidR="000F7184" w:rsidRPr="0072608D">
        <w:rPr>
          <w:b/>
          <w:sz w:val="18"/>
          <w:szCs w:val="18"/>
        </w:rPr>
        <w:fldChar w:fldCharType="end"/>
      </w:r>
      <w:r w:rsidR="000F7184" w:rsidRPr="0072608D">
        <w:rPr>
          <w:b/>
          <w:sz w:val="18"/>
          <w:szCs w:val="18"/>
        </w:rPr>
        <w:t>. Veľkosť obcí podľa počtu obyvateľov a rozlohy ich území</w:t>
      </w:r>
      <w:r w:rsidR="00565F92" w:rsidRPr="0072608D">
        <w:rPr>
          <w:b/>
          <w:sz w:val="18"/>
          <w:szCs w:val="18"/>
        </w:rPr>
        <w:t>. Zdroj: Vlastné spracovanie KRI, Košice, ŠÚ SR 2018.</w:t>
      </w:r>
    </w:p>
    <w:p w14:paraId="39565FA2" w14:textId="6F88BB70" w:rsidR="000442F6" w:rsidRPr="000442F6" w:rsidRDefault="000442F6" w:rsidP="0038174C">
      <w:pPr>
        <w:spacing w:line="276" w:lineRule="auto"/>
        <w:jc w:val="both"/>
      </w:pPr>
      <w:r>
        <w:t xml:space="preserve">Väčšina obcí v cieľovom území nemá </w:t>
      </w:r>
      <w:r w:rsidR="00050825">
        <w:t xml:space="preserve">rozlohu </w:t>
      </w:r>
      <w:r>
        <w:t>väčšiu ako 56 km</w:t>
      </w:r>
      <w:r w:rsidRPr="001F0A00">
        <w:rPr>
          <w:vertAlign w:val="superscript"/>
        </w:rPr>
        <w:t>2</w:t>
      </w:r>
      <w:r>
        <w:t xml:space="preserve"> a nemá viac ako</w:t>
      </w:r>
      <w:r w:rsidR="003A71B3">
        <w:t xml:space="preserve"> cca. 3100</w:t>
      </w:r>
      <w:r>
        <w:t xml:space="preserve"> stálych obyvateľov</w:t>
      </w:r>
      <w:r w:rsidR="003A71B3">
        <w:t xml:space="preserve"> (</w:t>
      </w:r>
      <w:r w:rsidR="000B4238">
        <w:t>Graf 1</w:t>
      </w:r>
      <w:r w:rsidR="003A71B3">
        <w:t>).</w:t>
      </w:r>
      <w:r w:rsidR="006E4820">
        <w:t xml:space="preserve"> Obce, zaradené do</w:t>
      </w:r>
      <w:r w:rsidR="00E9338A">
        <w:t xml:space="preserve"> južnej časti cieľového územia majú menej stálych obyvateľov ako obce na severe, výnimkou je iba mesto Dobšiná s 5657 obyvateľmi (Graf 1)</w:t>
      </w:r>
      <w:r w:rsidR="00DF59D7">
        <w:t>.</w:t>
      </w:r>
      <w:r w:rsidR="00E9338A">
        <w:t xml:space="preserve"> </w:t>
      </w:r>
    </w:p>
    <w:p w14:paraId="2295307E" w14:textId="77777777" w:rsidR="002039FF" w:rsidRPr="002039FF" w:rsidRDefault="002039FF" w:rsidP="0038174C">
      <w:pPr>
        <w:spacing w:line="276" w:lineRule="auto"/>
      </w:pPr>
    </w:p>
    <w:p w14:paraId="30964853" w14:textId="7F9E1F2A" w:rsidR="008E4F40" w:rsidRDefault="008E4F40" w:rsidP="00E30BB1">
      <w:pPr>
        <w:pStyle w:val="Nadpis1"/>
        <w:numPr>
          <w:ilvl w:val="0"/>
          <w:numId w:val="1"/>
        </w:numPr>
        <w:spacing w:line="276" w:lineRule="auto"/>
      </w:pPr>
      <w:bookmarkStart w:id="4" w:name="_Toc509383572"/>
      <w:r>
        <w:t>Cestovný ruch v NP Slovenský raj</w:t>
      </w:r>
      <w:bookmarkEnd w:id="4"/>
    </w:p>
    <w:p w14:paraId="7DFECBAC" w14:textId="32D86E03" w:rsidR="00534A58" w:rsidRDefault="00534A58" w:rsidP="0038174C">
      <w:pPr>
        <w:spacing w:line="276" w:lineRule="auto"/>
      </w:pPr>
    </w:p>
    <w:p w14:paraId="63ACD886" w14:textId="3DC7029D" w:rsidR="00AE1978" w:rsidRDefault="00AE1978" w:rsidP="0038174C">
      <w:pPr>
        <w:spacing w:before="60" w:line="276" w:lineRule="auto"/>
        <w:jc w:val="both"/>
      </w:pPr>
      <w:r>
        <w:t xml:space="preserve">Podľa členenia typov destinácií Svetovej turistickej organizácie (WTO), NP Slovenský raj predstavuje </w:t>
      </w:r>
      <w:r w:rsidR="00841848">
        <w:t xml:space="preserve">najmä </w:t>
      </w:r>
      <w:r>
        <w:t>prírodn</w:t>
      </w:r>
      <w:r w:rsidR="002C730D">
        <w:t>ú horskú</w:t>
      </w:r>
      <w:r>
        <w:t xml:space="preserve"> </w:t>
      </w:r>
      <w:r w:rsidR="002C730D">
        <w:t>destináciu</w:t>
      </w:r>
      <w:r>
        <w:t xml:space="preserve"> (založen</w:t>
      </w:r>
      <w:r w:rsidR="0034151B">
        <w:t>ú</w:t>
      </w:r>
      <w:r>
        <w:t xml:space="preserve"> na vysokej diverzite </w:t>
      </w:r>
      <w:r w:rsidR="00461FA4">
        <w:t>ponuky</w:t>
      </w:r>
      <w:r>
        <w:t xml:space="preserve"> CR</w:t>
      </w:r>
      <w:r w:rsidR="00461FA4">
        <w:t>) a</w:t>
      </w:r>
      <w:r w:rsidR="002C730D">
        <w:t> zimn</w:t>
      </w:r>
      <w:r w:rsidR="00841848">
        <w:t>ú</w:t>
      </w:r>
      <w:r w:rsidR="002C730D">
        <w:t xml:space="preserve"> horsk</w:t>
      </w:r>
      <w:r w:rsidR="00841848">
        <w:t>ú</w:t>
      </w:r>
      <w:r w:rsidR="002C730D">
        <w:t xml:space="preserve"> destináci</w:t>
      </w:r>
      <w:r w:rsidR="00841848">
        <w:t>u</w:t>
      </w:r>
      <w:r w:rsidR="002C730D">
        <w:t xml:space="preserve">.  </w:t>
      </w:r>
      <w:r>
        <w:t xml:space="preserve">  </w:t>
      </w:r>
    </w:p>
    <w:p w14:paraId="2BF09E7C" w14:textId="049BAF9D" w:rsidR="00534A58" w:rsidRDefault="00534A58" w:rsidP="0038174C">
      <w:pPr>
        <w:spacing w:before="60" w:line="276" w:lineRule="auto"/>
        <w:jc w:val="both"/>
      </w:pPr>
      <w:r w:rsidRPr="004A1DD7">
        <w:t>Územie Slovenského raja je legislatívne chránené od r. 1964, kedy bolo vyhlásené za chránenú krajinnú oblasť. Pretože územie spĺňa kritéria národného parku, bol Slovenský raj v r. 1988 prekategorizovaný na národný park.</w:t>
      </w:r>
      <w:r>
        <w:t xml:space="preserve"> </w:t>
      </w:r>
    </w:p>
    <w:p w14:paraId="2F521E8F" w14:textId="592B0ADC" w:rsidR="00534A58" w:rsidRPr="004A1DD7" w:rsidRDefault="00534A58" w:rsidP="0038174C">
      <w:pPr>
        <w:spacing w:before="60" w:line="276" w:lineRule="auto"/>
        <w:jc w:val="both"/>
      </w:pPr>
      <w:r>
        <w:t>Národný park so svojim č</w:t>
      </w:r>
      <w:r w:rsidRPr="004A1DD7">
        <w:t>lenitý</w:t>
      </w:r>
      <w:r>
        <w:t>m</w:t>
      </w:r>
      <w:r w:rsidRPr="004A1DD7">
        <w:t>, lesnatý</w:t>
      </w:r>
      <w:r>
        <w:t>m</w:t>
      </w:r>
      <w:r w:rsidRPr="004A1DD7">
        <w:t xml:space="preserve"> reliéf</w:t>
      </w:r>
      <w:r>
        <w:t>om</w:t>
      </w:r>
      <w:r w:rsidRPr="004A1DD7">
        <w:t xml:space="preserve"> </w:t>
      </w:r>
      <w:r>
        <w:t>poskytuje svojim návštevníkom</w:t>
      </w:r>
      <w:r w:rsidRPr="004A1DD7">
        <w:t xml:space="preserve"> </w:t>
      </w:r>
      <w:r>
        <w:t xml:space="preserve">príťažlivé </w:t>
      </w:r>
      <w:r w:rsidRPr="004A1DD7">
        <w:t>rokl</w:t>
      </w:r>
      <w:r>
        <w:t>iny</w:t>
      </w:r>
      <w:r w:rsidRPr="004A1DD7">
        <w:t>, tiesňav</w:t>
      </w:r>
      <w:r>
        <w:t>y</w:t>
      </w:r>
      <w:r w:rsidRPr="004A1DD7">
        <w:t>, kaňon</w:t>
      </w:r>
      <w:r>
        <w:t>y</w:t>
      </w:r>
      <w:r w:rsidRPr="004A1DD7">
        <w:t>, jask</w:t>
      </w:r>
      <w:r>
        <w:t>yne</w:t>
      </w:r>
      <w:r w:rsidRPr="004A1DD7">
        <w:t>, nádhern</w:t>
      </w:r>
      <w:r>
        <w:t>é</w:t>
      </w:r>
      <w:r w:rsidRPr="004A1DD7">
        <w:t xml:space="preserve"> scenéri</w:t>
      </w:r>
      <w:r>
        <w:t>e</w:t>
      </w:r>
      <w:r w:rsidRPr="004A1DD7">
        <w:t xml:space="preserve"> a zákut</w:t>
      </w:r>
      <w:r w:rsidR="008E79AE">
        <w:t>i</w:t>
      </w:r>
      <w:r>
        <w:t>a</w:t>
      </w:r>
      <w:r w:rsidRPr="004A1DD7">
        <w:t>. Toto vzácne územie vyniká aj veľkou pestrosťou rastlín a živočíchov. Zachovalo sa tu takmer 1000 druhov vyšších rastlín, viac ako 400 druhov machov a lišajníkov a zastúpené sú tu mnohé druhy karpatskej fauny včítane veľkých šeliem – medveďa, rysa, vlka, mačky divej a iných vzácnych a chránených druhov.</w:t>
      </w:r>
    </w:p>
    <w:p w14:paraId="7C6B2E89" w14:textId="77777777" w:rsidR="00534A58" w:rsidRPr="004A1DD7" w:rsidRDefault="00534A58" w:rsidP="0038174C">
      <w:pPr>
        <w:spacing w:before="60" w:line="276" w:lineRule="auto"/>
        <w:jc w:val="both"/>
      </w:pPr>
      <w:r w:rsidRPr="004A1DD7">
        <w:t>Pre tieto hodnoty bola najzachovalejšia časť Národného parku začlenená do siete európsky významných území (SKUEV č. 0112) a pre tieto hodnoty je územie Slovenského raja príťažlivou destináciou návštevníkov celého sveta.</w:t>
      </w:r>
    </w:p>
    <w:p w14:paraId="36E52EC3" w14:textId="475F2667" w:rsidR="00534A58" w:rsidRDefault="00534A58" w:rsidP="0038174C">
      <w:pPr>
        <w:spacing w:before="60" w:line="276" w:lineRule="auto"/>
        <w:jc w:val="both"/>
      </w:pPr>
      <w:r w:rsidRPr="004A1DD7">
        <w:lastRenderedPageBreak/>
        <w:t xml:space="preserve">Do územia NP môžu návštevníci vstupovať zo severnej aj z južnej časti, kde </w:t>
      </w:r>
      <w:r w:rsidRPr="00D97C6B">
        <w:t>v </w:t>
      </w:r>
      <w:r w:rsidR="00553D2E">
        <w:t>piatich</w:t>
      </w:r>
      <w:r w:rsidRPr="00D97C6B">
        <w:t xml:space="preserve"> rekreačných strediskách sú </w:t>
      </w:r>
      <w:r w:rsidR="00553D2E">
        <w:t>k dispozícii</w:t>
      </w:r>
      <w:r w:rsidRPr="00D97C6B">
        <w:t xml:space="preserve"> parkoviská, ubytovanie, stravovanie a ďalšie služby.</w:t>
      </w:r>
      <w:r w:rsidRPr="004A1DD7">
        <w:t xml:space="preserve"> V</w:t>
      </w:r>
      <w:r w:rsidR="00AE6CC4">
        <w:t xml:space="preserve"> rozvinutejšej</w:t>
      </w:r>
      <w:r w:rsidRPr="004A1DD7">
        <w:t> severnej časti je to rekreačné stredisko Čingov a Podlesok, na južnej strane Dobšinská Ľadová Jaskyňa, Dedinky a Mlynky. Okrem toho ubytovanie</w:t>
      </w:r>
      <w:r w:rsidR="005F2890">
        <w:t xml:space="preserve"> </w:t>
      </w:r>
      <w:r w:rsidR="001E24A4">
        <w:t>a ďalšie služby</w:t>
      </w:r>
      <w:r w:rsidRPr="004A1DD7">
        <w:t xml:space="preserve"> poskytujú viaceré penzióny v sídlach obcí a miest, ktoré sa nachádzajú v NP alebo jeho ochrannom pásme</w:t>
      </w:r>
      <w:r w:rsidR="009C1ABF">
        <w:t>. Málo rozvinuté, resp. nerozvinuté oblasti cestovného ruchu sa nachádzajú na východnej časti smerom na obec Hnilčík až po Nálepkovo a údolie Železného potoka a západná časť – Hranovnica, Vernár, Telgárt</w:t>
      </w:r>
    </w:p>
    <w:p w14:paraId="13EA07A4" w14:textId="7B42A694" w:rsidR="00F36CDC" w:rsidRDefault="009B43E5" w:rsidP="0038174C">
      <w:pPr>
        <w:spacing w:before="60" w:line="276" w:lineRule="auto"/>
        <w:jc w:val="both"/>
      </w:pPr>
      <w:r>
        <w:t>Ú</w:t>
      </w:r>
      <w:r w:rsidRPr="004A1DD7">
        <w:t>zemie Slovenského raja je veľmi špecifické, charakterizujú ho exponované rokliny a kaňony,</w:t>
      </w:r>
      <w:r w:rsidR="00E7142C">
        <w:t xml:space="preserve"> kde</w:t>
      </w:r>
      <w:r w:rsidRPr="004A1DD7">
        <w:t xml:space="preserve"> </w:t>
      </w:r>
      <w:r w:rsidRPr="00D97C6B">
        <w:t xml:space="preserve">je rozvinutá prevažne pešia turistika. Pre tento účel slúži návštevníkom </w:t>
      </w:r>
      <w:r w:rsidR="00E7142C">
        <w:t xml:space="preserve">cca. </w:t>
      </w:r>
      <w:r w:rsidRPr="00D97C6B">
        <w:t>27</w:t>
      </w:r>
      <w:r w:rsidR="00EA6EF0">
        <w:t>7</w:t>
      </w:r>
      <w:r w:rsidRPr="00D97C6B">
        <w:t xml:space="preserve"> km turistických chodníkov. Ale sú tu vytvorené aj možnosti pre cykloturistiku, skalolezenie, </w:t>
      </w:r>
      <w:r w:rsidR="0026745F">
        <w:t>rekreáciu pri vode</w:t>
      </w:r>
      <w:r w:rsidRPr="00D97C6B">
        <w:t>, člnkovanie, jazdu na koni</w:t>
      </w:r>
      <w:r w:rsidR="00CF3C74">
        <w:t>.</w:t>
      </w:r>
      <w:r w:rsidRPr="00D97C6B">
        <w:t xml:space="preserve"> </w:t>
      </w:r>
      <w:r w:rsidR="00CF3C74">
        <w:t>V </w:t>
      </w:r>
      <w:r w:rsidRPr="00D97C6B">
        <w:t>zime</w:t>
      </w:r>
      <w:r w:rsidR="00CF3C74">
        <w:t xml:space="preserve"> je možné</w:t>
      </w:r>
      <w:r w:rsidRPr="00D97C6B">
        <w:t xml:space="preserve"> </w:t>
      </w:r>
      <w:r w:rsidR="00E7142C">
        <w:t xml:space="preserve">zjazdové </w:t>
      </w:r>
      <w:r w:rsidRPr="00D97C6B">
        <w:t>lyžovanie</w:t>
      </w:r>
      <w:r w:rsidR="00E7142C">
        <w:t>, bežecké lyžovanie, ľadolezenie na zamrznutých vodopádoch, korčuľovanie na umelých alebo prírodných plochách (napríklad na zamrznutom Hornáde), atď.</w:t>
      </w:r>
    </w:p>
    <w:p w14:paraId="46FD6CD5" w14:textId="55736AF3" w:rsidR="00D74BFD" w:rsidRDefault="00D74BFD" w:rsidP="0038174C">
      <w:pPr>
        <w:spacing w:before="60" w:line="276" w:lineRule="auto"/>
        <w:jc w:val="both"/>
      </w:pPr>
      <w:r>
        <w:t>Aj napriek tomu, že dominantným prvkom a prostredím pre rozvoj cestovného ruchu v riešenom subregióne je prírodný a krajinný potenciál, NP SR je špecifický práve tým, že jeho okolie poskytuje široké a kvalitné možnosti pre organizovanie a viazanie aktivít CR na bohatý kultúrno-historický potenciál, obsahujúci vzácne historické pamiatky, zapísané do zoznamu UNESCO, množstvo zachovalých sakrálnych i svetských kultúrnych a technických pamiatok</w:t>
      </w:r>
    </w:p>
    <w:p w14:paraId="7FC56E3B" w14:textId="77777777" w:rsidR="001E489F" w:rsidRPr="004A1DD7" w:rsidRDefault="001E489F" w:rsidP="0038174C">
      <w:pPr>
        <w:spacing w:before="60" w:line="276" w:lineRule="auto"/>
        <w:jc w:val="both"/>
      </w:pPr>
    </w:p>
    <w:p w14:paraId="061D2D22" w14:textId="7E3B0835" w:rsidR="00EA1B9A" w:rsidRDefault="001E489F" w:rsidP="00E30BB1">
      <w:pPr>
        <w:pStyle w:val="Nadpis2"/>
        <w:numPr>
          <w:ilvl w:val="1"/>
          <w:numId w:val="1"/>
        </w:numPr>
        <w:spacing w:line="276" w:lineRule="auto"/>
      </w:pPr>
      <w:r>
        <w:t xml:space="preserve"> </w:t>
      </w:r>
      <w:bookmarkStart w:id="5" w:name="_Toc509383573"/>
      <w:r w:rsidR="00FB546E">
        <w:t>P</w:t>
      </w:r>
      <w:r w:rsidR="00EA1B9A">
        <w:t xml:space="preserve">onuka </w:t>
      </w:r>
      <w:r w:rsidR="00FB546E">
        <w:t>v cestovnom ruchu v</w:t>
      </w:r>
      <w:r w:rsidR="00A7601F">
        <w:t xml:space="preserve"> NP </w:t>
      </w:r>
      <w:r w:rsidR="00824CE7">
        <w:t>Slovensk</w:t>
      </w:r>
      <w:r w:rsidR="00A7601F">
        <w:t>ý</w:t>
      </w:r>
      <w:r w:rsidR="00824CE7">
        <w:t xml:space="preserve"> raj</w:t>
      </w:r>
      <w:bookmarkEnd w:id="5"/>
    </w:p>
    <w:p w14:paraId="7757FCC2" w14:textId="77777777" w:rsidR="00641665" w:rsidRPr="00641665" w:rsidRDefault="00641665" w:rsidP="00641665"/>
    <w:p w14:paraId="076D035A" w14:textId="363E7B46" w:rsidR="00A7601F" w:rsidRPr="00641665" w:rsidRDefault="00641665" w:rsidP="00641665">
      <w:pPr>
        <w:pStyle w:val="Default"/>
        <w:spacing w:line="276" w:lineRule="auto"/>
        <w:jc w:val="both"/>
        <w:rPr>
          <w:rFonts w:asciiTheme="minorHAnsi" w:hAnsiTheme="minorHAnsi" w:cstheme="minorHAnsi"/>
          <w:sz w:val="22"/>
          <w:szCs w:val="22"/>
        </w:rPr>
      </w:pPr>
      <w:r w:rsidRPr="00641665">
        <w:rPr>
          <w:rFonts w:asciiTheme="minorHAnsi" w:hAnsiTheme="minorHAnsi" w:cstheme="minorHAnsi"/>
          <w:sz w:val="22"/>
          <w:szCs w:val="22"/>
        </w:rPr>
        <w:t>Pod ponukou v cestovnom ruchu (CR) je myslená primárna a sekundárna ponuka v CR. Primárna ponuka je lokalizačným predpokladom pre rozvoj aktivít CR. Je tvorená prírodnými podmienkami a antropogénnou ponukou (kultúrno-historické podmienky a kultúrne podujatia). Sekundárna ponuka v </w:t>
      </w:r>
      <w:r>
        <w:rPr>
          <w:rFonts w:asciiTheme="minorHAnsi" w:hAnsiTheme="minorHAnsi" w:cstheme="minorHAnsi"/>
          <w:sz w:val="22"/>
          <w:szCs w:val="22"/>
        </w:rPr>
        <w:t>CR</w:t>
      </w:r>
      <w:r w:rsidRPr="00641665">
        <w:rPr>
          <w:rFonts w:asciiTheme="minorHAnsi" w:hAnsiTheme="minorHAnsi" w:cstheme="minorHAnsi"/>
          <w:sz w:val="22"/>
          <w:szCs w:val="22"/>
        </w:rPr>
        <w:t xml:space="preserve"> je prostriedkom na priblíženie a využitie primárnej ponuky. Býva označovaná aj ako </w:t>
      </w:r>
      <w:r w:rsidRPr="00641665">
        <w:rPr>
          <w:rFonts w:asciiTheme="minorHAnsi" w:hAnsiTheme="minorHAnsi" w:cstheme="minorHAnsi"/>
          <w:iCs/>
          <w:sz w:val="22"/>
          <w:szCs w:val="22"/>
        </w:rPr>
        <w:t>„realizačné predpoklady</w:t>
      </w:r>
      <w:r w:rsidRPr="00641665">
        <w:rPr>
          <w:rFonts w:asciiTheme="minorHAnsi" w:hAnsiTheme="minorHAnsi" w:cstheme="minorHAnsi"/>
          <w:sz w:val="22"/>
          <w:szCs w:val="22"/>
        </w:rPr>
        <w:t>“ územia, ktoré nie sú cieľom účasti na CR, ale bez ich realizácie by nebolo možné cestovný ruch realizovať.</w:t>
      </w:r>
    </w:p>
    <w:p w14:paraId="62C3E768" w14:textId="77777777" w:rsidR="00641665" w:rsidRPr="00A7601F" w:rsidRDefault="00641665" w:rsidP="00A7601F"/>
    <w:p w14:paraId="09D75D5C" w14:textId="34555092" w:rsidR="00A7601F" w:rsidRPr="00A7601F" w:rsidRDefault="00A7601F" w:rsidP="00E30BB1">
      <w:pPr>
        <w:pStyle w:val="Nadpis3"/>
        <w:numPr>
          <w:ilvl w:val="2"/>
          <w:numId w:val="1"/>
        </w:numPr>
      </w:pPr>
      <w:bookmarkStart w:id="6" w:name="_Toc509383574"/>
      <w:r>
        <w:t>Primárna ponuka v cestovnom ruchu v NP Slovenský raj</w:t>
      </w:r>
      <w:bookmarkEnd w:id="6"/>
    </w:p>
    <w:p w14:paraId="099BA49E" w14:textId="3306FFD1" w:rsidR="00FB546E" w:rsidRDefault="00FB546E" w:rsidP="0038174C">
      <w:pPr>
        <w:spacing w:line="276" w:lineRule="auto"/>
      </w:pPr>
    </w:p>
    <w:p w14:paraId="74283080" w14:textId="3FEE1C8C" w:rsidR="00B918D6" w:rsidRDefault="00594C45" w:rsidP="0038174C">
      <w:pPr>
        <w:spacing w:line="276" w:lineRule="auto"/>
        <w:jc w:val="both"/>
      </w:pPr>
      <w:r>
        <w:t>NP Slovenský raj patrí k </w:t>
      </w:r>
      <w:r w:rsidRPr="00383983">
        <w:rPr>
          <w:b/>
        </w:rPr>
        <w:t>najviac navštevovaným miestam na Slovensku</w:t>
      </w:r>
      <w:r>
        <w:t xml:space="preserve"> vďaka vysokej koncentrácií prírodných krás, nachádzajúcich sa na svojom území. Ich existencia a využívanie priamo podmieňujú rozvoj cestovného ruchu, ktorý tu predstavuje významné hospodárske odvetvie. </w:t>
      </w:r>
      <w:r w:rsidR="00B918D6">
        <w:t xml:space="preserve"> </w:t>
      </w:r>
      <w:r>
        <w:t xml:space="preserve">Primárna ponuka je lokalizačným predpokladom pre rozvoj aktivít CR. Je tvorená prírodnými podmienkami a antropogénnou ponukou (kultúrno-historické podmienky a kultúrne podujatia). </w:t>
      </w:r>
      <w:r w:rsidR="00B918D6">
        <w:t xml:space="preserve">Prírodné podmienky primárnej ponuky zahŕňajú: </w:t>
      </w:r>
    </w:p>
    <w:p w14:paraId="0AE61AB5" w14:textId="77777777" w:rsidR="00F148C6" w:rsidRPr="00B019DB" w:rsidRDefault="00B918D6" w:rsidP="00F148C6">
      <w:pPr>
        <w:spacing w:line="276" w:lineRule="auto"/>
        <w:jc w:val="both"/>
        <w:rPr>
          <w:rFonts w:cs="MDDKIG+TimesNewRoman"/>
          <w:color w:val="000000"/>
        </w:rPr>
      </w:pPr>
      <w:r w:rsidRPr="00F148C6">
        <w:rPr>
          <w:color w:val="C45911" w:themeColor="accent2" w:themeShade="BF"/>
        </w:rPr>
        <w:t xml:space="preserve">- </w:t>
      </w:r>
      <w:r w:rsidRPr="00F148C6">
        <w:rPr>
          <w:b/>
          <w:color w:val="C45911" w:themeColor="accent2" w:themeShade="BF"/>
        </w:rPr>
        <w:t>geomorfologické pomery</w:t>
      </w:r>
      <w:r w:rsidRPr="00F148C6">
        <w:rPr>
          <w:color w:val="C45911" w:themeColor="accent2" w:themeShade="BF"/>
        </w:rPr>
        <w:t xml:space="preserve"> </w:t>
      </w:r>
      <w:r>
        <w:t>(vrcholy, rokliny, vodopády, jaskyne, atď.)</w:t>
      </w:r>
      <w:r w:rsidR="00F148C6">
        <w:t xml:space="preserve"> </w:t>
      </w:r>
      <w:r w:rsidR="00F148C6" w:rsidRPr="00B019DB">
        <w:rPr>
          <w:rFonts w:cs="MDDKIG+TimesNewRoman"/>
          <w:color w:val="000000"/>
        </w:rPr>
        <w:t xml:space="preserve">Slovenský raj predstavuje svojrázne krasové územie s bohato </w:t>
      </w:r>
      <w:r w:rsidR="00F148C6" w:rsidRPr="00B019DB">
        <w:rPr>
          <w:rFonts w:cs="Times New Roman"/>
          <w:color w:val="000000"/>
        </w:rPr>
        <w:t>č</w:t>
      </w:r>
      <w:r w:rsidR="00F148C6" w:rsidRPr="00B019DB">
        <w:rPr>
          <w:rFonts w:cs="MDDKIG+TimesNewRoman"/>
          <w:color w:val="000000"/>
        </w:rPr>
        <w:t>leneným reliéfom, v ktorom dominujú dve základné geomorfologické formy, ktoré majú najvä</w:t>
      </w:r>
      <w:r w:rsidR="00F148C6" w:rsidRPr="00B019DB">
        <w:rPr>
          <w:rFonts w:cs="Times New Roman"/>
          <w:color w:val="000000"/>
        </w:rPr>
        <w:t>č</w:t>
      </w:r>
      <w:r w:rsidR="00F148C6" w:rsidRPr="00B019DB">
        <w:rPr>
          <w:rFonts w:cs="MDDKIG+TimesNewRoman"/>
          <w:color w:val="000000"/>
        </w:rPr>
        <w:t>šiu zásluhu na jeho atraktívnosti. Sú to krasové planiny s bohatými podzemnými krasovými javmi (jaskyne, priepasti) a rie</w:t>
      </w:r>
      <w:r w:rsidR="00F148C6" w:rsidRPr="00B019DB">
        <w:rPr>
          <w:rFonts w:cs="Times New Roman"/>
          <w:color w:val="000000"/>
        </w:rPr>
        <w:t>č</w:t>
      </w:r>
      <w:r w:rsidR="00F148C6" w:rsidRPr="00B019DB">
        <w:rPr>
          <w:rFonts w:cs="MDDKIG+TimesNewRoman"/>
          <w:color w:val="000000"/>
        </w:rPr>
        <w:t xml:space="preserve">ne doliny, s úzkymi tiesninami až roklinami, ktoré obklopujú strmé bralnaté steny. </w:t>
      </w:r>
    </w:p>
    <w:p w14:paraId="389B5BA2" w14:textId="77777777" w:rsidR="00F148C6" w:rsidRPr="00B019DB" w:rsidRDefault="00F148C6" w:rsidP="00F148C6">
      <w:pPr>
        <w:spacing w:line="276" w:lineRule="auto"/>
        <w:jc w:val="both"/>
        <w:rPr>
          <w:rFonts w:cs="MDDKIG+TimesNewRoman"/>
          <w:color w:val="000000"/>
        </w:rPr>
      </w:pPr>
      <w:r w:rsidRPr="00B019DB">
        <w:rPr>
          <w:rFonts w:cs="MDDKIG+TimesNewRoman"/>
          <w:color w:val="000000"/>
        </w:rPr>
        <w:lastRenderedPageBreak/>
        <w:t>Na geologickej stavbe sa podie</w:t>
      </w:r>
      <w:r w:rsidRPr="00B019DB">
        <w:rPr>
          <w:rFonts w:cs="Times New Roman"/>
          <w:color w:val="000000"/>
        </w:rPr>
        <w:t>ľ</w:t>
      </w:r>
      <w:r w:rsidRPr="00B019DB">
        <w:rPr>
          <w:rFonts w:cs="MDDKIG+TimesNewRoman"/>
          <w:color w:val="000000"/>
        </w:rPr>
        <w:t>ajú horniny mezozoika (druhohôr) – vápence, dolomity, kremence, pestré bridlice a pieskovce, v ochrannom pásme aj horniny kryštalinika (granodiority), spišsko-gemerského paleozoika (pieskovce, kremence, bridlice, fylity, diabasy a diabasové tufy a tre</w:t>
      </w:r>
      <w:r w:rsidRPr="00B019DB">
        <w:rPr>
          <w:rFonts w:cs="Times New Roman"/>
          <w:color w:val="000000"/>
        </w:rPr>
        <w:t>ť</w:t>
      </w:r>
      <w:r w:rsidRPr="00B019DB">
        <w:rPr>
          <w:rFonts w:cs="MDDKIG+TimesNewRoman"/>
          <w:color w:val="000000"/>
        </w:rPr>
        <w:t xml:space="preserve">ohorné sedimenty vnútrokarpatského paleogénu (zlepence, pieskovce, vápenaté ílovce). Štvrtohory sú zastúpené v dolinách riek fluviálnymi (štrky) a svahovými sedimentmi. </w:t>
      </w:r>
    </w:p>
    <w:p w14:paraId="3B173370" w14:textId="77777777" w:rsidR="00F148C6" w:rsidRDefault="00F148C6" w:rsidP="00F148C6">
      <w:pPr>
        <w:spacing w:line="276" w:lineRule="auto"/>
        <w:jc w:val="both"/>
        <w:rPr>
          <w:rFonts w:cs="MDDKIG+TimesNewRoman"/>
          <w:color w:val="000000"/>
        </w:rPr>
      </w:pPr>
      <w:r w:rsidRPr="00B019DB">
        <w:rPr>
          <w:rFonts w:cs="MDDKIG+TimesNewRoman"/>
          <w:color w:val="000000"/>
        </w:rPr>
        <w:t xml:space="preserve">Na území </w:t>
      </w:r>
      <w:r>
        <w:rPr>
          <w:rFonts w:cs="MDDKIG+TimesNewRoman"/>
          <w:color w:val="000000"/>
        </w:rPr>
        <w:t>Slovenského raja</w:t>
      </w:r>
      <w:r w:rsidRPr="00B019DB">
        <w:rPr>
          <w:rFonts w:cs="MDDKIG+TimesNewRoman"/>
          <w:color w:val="000000"/>
        </w:rPr>
        <w:t xml:space="preserve"> je vyvinutý krasový, fluviokrasový a nekrasový reliéf. V krasovom reliéfe sú vyvinuté krasové plošiny, úvaly, závrty, škrapy a pliocénne doliny (Glac, Ge</w:t>
      </w:r>
      <w:r>
        <w:rPr>
          <w:rFonts w:cs="MDDKIG+TimesNewRoman"/>
          <w:color w:val="000000"/>
        </w:rPr>
        <w:t>ravy, Pelc, Skala). Vo fluviokra</w:t>
      </w:r>
      <w:r w:rsidRPr="00B019DB">
        <w:rPr>
          <w:rFonts w:cs="MDDKIG+TimesNewRoman"/>
          <w:color w:val="000000"/>
        </w:rPr>
        <w:t xml:space="preserve">sovom reliéfe sú masívy s </w:t>
      </w:r>
      <w:r w:rsidRPr="00B019DB">
        <w:rPr>
          <w:rFonts w:cs="Times New Roman"/>
          <w:color w:val="000000"/>
        </w:rPr>
        <w:t>č</w:t>
      </w:r>
      <w:r w:rsidRPr="00B019DB">
        <w:rPr>
          <w:rFonts w:cs="MDDKIG+TimesNewRoman"/>
          <w:color w:val="000000"/>
        </w:rPr>
        <w:t>iasto</w:t>
      </w:r>
      <w:r w:rsidRPr="00B019DB">
        <w:rPr>
          <w:rFonts w:cs="Times New Roman"/>
          <w:color w:val="000000"/>
        </w:rPr>
        <w:t>č</w:t>
      </w:r>
      <w:r w:rsidRPr="00B019DB">
        <w:rPr>
          <w:rFonts w:cs="MDDKIG+TimesNewRoman"/>
          <w:color w:val="000000"/>
        </w:rPr>
        <w:t>ne zachovalými plošinami a rázsochovité chrbty a hrebene (Ondrejisko, Lipovec, Medvedia hlava, Tri kopce, Jablo</w:t>
      </w:r>
      <w:r w:rsidRPr="00B019DB">
        <w:rPr>
          <w:rFonts w:cs="Times New Roman"/>
          <w:color w:val="000000"/>
        </w:rPr>
        <w:t>ň</w:t>
      </w:r>
      <w:r w:rsidRPr="00B019DB">
        <w:rPr>
          <w:rFonts w:cs="MDDKIG+TimesNewRoman"/>
          <w:color w:val="000000"/>
        </w:rPr>
        <w:t>). Nekrasový reliéf (oblas</w:t>
      </w:r>
      <w:r w:rsidRPr="00B019DB">
        <w:rPr>
          <w:rFonts w:cs="Times New Roman"/>
          <w:color w:val="000000"/>
        </w:rPr>
        <w:t xml:space="preserve">ť </w:t>
      </w:r>
      <w:r w:rsidRPr="00B019DB">
        <w:rPr>
          <w:rFonts w:cs="MDDKIG+TimesNewRoman"/>
          <w:color w:val="000000"/>
        </w:rPr>
        <w:t xml:space="preserve">Dobšinskej </w:t>
      </w:r>
      <w:r w:rsidRPr="00B019DB">
        <w:rPr>
          <w:rFonts w:cs="Times New Roman"/>
          <w:color w:val="000000"/>
        </w:rPr>
        <w:t>Ľ</w:t>
      </w:r>
      <w:r w:rsidRPr="00B019DB">
        <w:rPr>
          <w:rFonts w:cs="MDDKIG+TimesNewRoman"/>
          <w:color w:val="000000"/>
        </w:rPr>
        <w:t>adovej Jaskyne, Stratenská kotlina, Dedinky).</w:t>
      </w:r>
    </w:p>
    <w:p w14:paraId="299EEC84" w14:textId="2D981881" w:rsidR="00F148C6" w:rsidRDefault="00B918D6" w:rsidP="00FB430B">
      <w:pPr>
        <w:spacing w:line="276" w:lineRule="auto"/>
        <w:jc w:val="both"/>
        <w:rPr>
          <w:rFonts w:cs="MDDKIG+TimesNewRoman"/>
          <w:color w:val="000000"/>
          <w:szCs w:val="23"/>
        </w:rPr>
      </w:pPr>
      <w:r w:rsidRPr="00F148C6">
        <w:rPr>
          <w:color w:val="C45911" w:themeColor="accent2" w:themeShade="BF"/>
        </w:rPr>
        <w:t xml:space="preserve">- </w:t>
      </w:r>
      <w:r w:rsidRPr="00F148C6">
        <w:rPr>
          <w:b/>
          <w:color w:val="C45911" w:themeColor="accent2" w:themeShade="BF"/>
        </w:rPr>
        <w:t>klimatické podmienky</w:t>
      </w:r>
      <w:r w:rsidRPr="00F148C6">
        <w:rPr>
          <w:color w:val="C45911" w:themeColor="accent2" w:themeShade="BF"/>
        </w:rPr>
        <w:t xml:space="preserve"> </w:t>
      </w:r>
      <w:r>
        <w:t>(slnečné žiarenie, množstvá zrážok v lete a v zime a atmosférická cirkulácia v území)</w:t>
      </w:r>
      <w:r w:rsidR="00F148C6">
        <w:t xml:space="preserve">. </w:t>
      </w:r>
      <w:r w:rsidR="00F148C6" w:rsidRPr="00B019DB">
        <w:rPr>
          <w:rFonts w:cs="MDDKIG+TimesNewRoman"/>
          <w:color w:val="000000"/>
          <w:szCs w:val="23"/>
        </w:rPr>
        <w:t>Pod</w:t>
      </w:r>
      <w:r w:rsidR="00F148C6" w:rsidRPr="00B019DB">
        <w:rPr>
          <w:rFonts w:cs="Times New Roman"/>
          <w:color w:val="000000"/>
          <w:szCs w:val="23"/>
        </w:rPr>
        <w:t>ľ</w:t>
      </w:r>
      <w:r w:rsidR="00F148C6" w:rsidRPr="00B019DB">
        <w:rPr>
          <w:rFonts w:cs="MDDKIG+TimesNewRoman"/>
          <w:color w:val="000000"/>
          <w:szCs w:val="23"/>
        </w:rPr>
        <w:t xml:space="preserve">a klasifikácie (Lapin et al. 2002) patrí celé územie s výnimkou severne položených </w:t>
      </w:r>
      <w:r w:rsidR="00F148C6" w:rsidRPr="00B019DB">
        <w:rPr>
          <w:rFonts w:cs="Times New Roman"/>
          <w:color w:val="000000"/>
          <w:szCs w:val="23"/>
        </w:rPr>
        <w:t>č</w:t>
      </w:r>
      <w:r w:rsidR="00F148C6" w:rsidRPr="00B019DB">
        <w:rPr>
          <w:rFonts w:cs="MDDKIG+TimesNewRoman"/>
          <w:color w:val="000000"/>
          <w:szCs w:val="23"/>
        </w:rPr>
        <w:t xml:space="preserve">astí Hornádskej kotliny do </w:t>
      </w:r>
      <w:r w:rsidR="00F148C6" w:rsidRPr="001A3414">
        <w:rPr>
          <w:rFonts w:cs="MDDKIG+TimesNewRoman"/>
          <w:b/>
          <w:color w:val="000000"/>
          <w:szCs w:val="23"/>
        </w:rPr>
        <w:t>mierne chladného a ve</w:t>
      </w:r>
      <w:r w:rsidR="00F148C6" w:rsidRPr="001A3414">
        <w:rPr>
          <w:rFonts w:cs="Times New Roman"/>
          <w:b/>
          <w:color w:val="000000"/>
          <w:szCs w:val="23"/>
        </w:rPr>
        <w:t>ľ</w:t>
      </w:r>
      <w:r w:rsidR="00F148C6" w:rsidRPr="001A3414">
        <w:rPr>
          <w:rFonts w:cs="MDDKIG+TimesNewRoman"/>
          <w:b/>
          <w:color w:val="000000"/>
          <w:szCs w:val="23"/>
        </w:rPr>
        <w:t>mi vlhkého okrsku</w:t>
      </w:r>
      <w:r w:rsidR="00F148C6" w:rsidRPr="00B019DB">
        <w:rPr>
          <w:rFonts w:cs="MDDKIG+TimesNewRoman"/>
          <w:color w:val="000000"/>
          <w:szCs w:val="23"/>
        </w:rPr>
        <w:t xml:space="preserve"> s priemernou júlovou teplotou 12 – 16 °C. Hornádska kotlina je zaradená do </w:t>
      </w:r>
      <w:r w:rsidR="00F148C6" w:rsidRPr="001A3414">
        <w:rPr>
          <w:rFonts w:cs="MDDKIG+TimesNewRoman"/>
          <w:b/>
          <w:color w:val="000000"/>
          <w:szCs w:val="23"/>
        </w:rPr>
        <w:t>mierne teplého a mierne vlhkého kotlinového okrsku</w:t>
      </w:r>
      <w:r w:rsidR="00F148C6" w:rsidRPr="00B019DB">
        <w:rPr>
          <w:rFonts w:cs="MDDKIG+TimesNewRoman"/>
          <w:color w:val="000000"/>
          <w:szCs w:val="23"/>
        </w:rPr>
        <w:t xml:space="preserve"> so studenou zimou, s priemernou teplotou vzduchu v januári nižšou ako 5 °C, priemernou júlovou tep</w:t>
      </w:r>
      <w:r w:rsidR="00F148C6">
        <w:rPr>
          <w:rFonts w:cs="MDDKIG+TimesNewRoman"/>
          <w:color w:val="000000"/>
          <w:szCs w:val="23"/>
        </w:rPr>
        <w:t xml:space="preserve">lotou viac ako 16 °C </w:t>
      </w:r>
      <w:r w:rsidR="00F148C6" w:rsidRPr="00B019DB">
        <w:rPr>
          <w:rFonts w:cs="MDDKIG+TimesNewRoman"/>
          <w:color w:val="000000"/>
          <w:szCs w:val="23"/>
        </w:rPr>
        <w:t>a priemerným po</w:t>
      </w:r>
      <w:r w:rsidR="00F148C6" w:rsidRPr="00B019DB">
        <w:rPr>
          <w:rFonts w:cs="Times New Roman"/>
          <w:color w:val="000000"/>
          <w:szCs w:val="23"/>
        </w:rPr>
        <w:t>č</w:t>
      </w:r>
      <w:r w:rsidR="00F148C6" w:rsidRPr="00B019DB">
        <w:rPr>
          <w:rFonts w:cs="MDDKIG+TimesNewRoman"/>
          <w:color w:val="000000"/>
          <w:szCs w:val="23"/>
        </w:rPr>
        <w:t>tom letných dní menej ako 50 za rok.</w:t>
      </w:r>
      <w:r w:rsidR="00F148C6" w:rsidRPr="00DE42A2">
        <w:rPr>
          <w:rFonts w:ascii="Times New Roman" w:hAnsi="Times New Roman" w:cs="Times New Roman"/>
          <w:noProof/>
          <w:lang w:eastAsia="sk-SK"/>
        </w:rPr>
        <w:t xml:space="preserve"> </w:t>
      </w:r>
    </w:p>
    <w:p w14:paraId="50E45A1F" w14:textId="77777777" w:rsidR="00F148C6" w:rsidRDefault="00F148C6" w:rsidP="00F148C6">
      <w:pPr>
        <w:spacing w:line="276" w:lineRule="auto"/>
        <w:jc w:val="both"/>
        <w:rPr>
          <w:rFonts w:cs="MDDKIG+TimesNewRoman"/>
          <w:color w:val="000000"/>
          <w:szCs w:val="23"/>
        </w:rPr>
      </w:pPr>
      <w:r>
        <w:rPr>
          <w:rFonts w:ascii="Times New Roman" w:hAnsi="Times New Roman" w:cs="Times New Roman"/>
          <w:noProof/>
          <w:lang w:val="en-GB" w:eastAsia="en-GB"/>
        </w:rPr>
        <w:drawing>
          <wp:anchor distT="0" distB="0" distL="114300" distR="114300" simplePos="0" relativeHeight="251666432" behindDoc="0" locked="0" layoutInCell="1" allowOverlap="1" wp14:anchorId="5C0345A1" wp14:editId="04930F4D">
            <wp:simplePos x="0" y="0"/>
            <wp:positionH relativeFrom="margin">
              <wp:align>right</wp:align>
            </wp:positionH>
            <wp:positionV relativeFrom="paragraph">
              <wp:posOffset>36391</wp:posOffset>
            </wp:positionV>
            <wp:extent cx="2769576" cy="2140033"/>
            <wp:effectExtent l="0" t="0" r="0" b="0"/>
            <wp:wrapNone/>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_SR_Rsum_1961_199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69576" cy="2140033"/>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GB" w:eastAsia="en-GB"/>
        </w:rPr>
        <w:drawing>
          <wp:anchor distT="0" distB="0" distL="114300" distR="114300" simplePos="0" relativeHeight="251665408" behindDoc="0" locked="0" layoutInCell="1" allowOverlap="1" wp14:anchorId="18BEC056" wp14:editId="68E56208">
            <wp:simplePos x="0" y="0"/>
            <wp:positionH relativeFrom="column">
              <wp:posOffset>-100330</wp:posOffset>
            </wp:positionH>
            <wp:positionV relativeFrom="paragraph">
              <wp:posOffset>71120</wp:posOffset>
            </wp:positionV>
            <wp:extent cx="2765425" cy="2136140"/>
            <wp:effectExtent l="0" t="0" r="0" b="0"/>
            <wp:wrapThrough wrapText="bothSides">
              <wp:wrapPolygon edited="0">
                <wp:start x="0" y="0"/>
                <wp:lineTo x="0" y="21382"/>
                <wp:lineTo x="21426" y="21382"/>
                <wp:lineTo x="21426" y="0"/>
                <wp:lineTo x="0" y="0"/>
              </wp:wrapPolygon>
            </wp:wrapThrough>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_SR_Teplota_1961_199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5425" cy="2136140"/>
                    </a:xfrm>
                    <a:prstGeom prst="rect">
                      <a:avLst/>
                    </a:prstGeom>
                  </pic:spPr>
                </pic:pic>
              </a:graphicData>
            </a:graphic>
            <wp14:sizeRelH relativeFrom="margin">
              <wp14:pctWidth>0</wp14:pctWidth>
            </wp14:sizeRelH>
            <wp14:sizeRelV relativeFrom="margin">
              <wp14:pctHeight>0</wp14:pctHeight>
            </wp14:sizeRelV>
          </wp:anchor>
        </w:drawing>
      </w:r>
    </w:p>
    <w:p w14:paraId="63622CC1" w14:textId="77777777" w:rsidR="00F148C6" w:rsidRDefault="00F148C6" w:rsidP="00F148C6">
      <w:pPr>
        <w:spacing w:line="276" w:lineRule="auto"/>
        <w:jc w:val="both"/>
        <w:rPr>
          <w:rFonts w:cs="MDDKIG+TimesNewRoman"/>
          <w:color w:val="000000"/>
          <w:szCs w:val="23"/>
        </w:rPr>
      </w:pPr>
    </w:p>
    <w:p w14:paraId="485BCB9E" w14:textId="77777777" w:rsidR="00F148C6" w:rsidRDefault="00F148C6" w:rsidP="00F148C6">
      <w:pPr>
        <w:spacing w:line="276" w:lineRule="auto"/>
        <w:jc w:val="both"/>
        <w:rPr>
          <w:rFonts w:cs="MDDKIG+TimesNewRoman"/>
          <w:color w:val="000000"/>
          <w:szCs w:val="23"/>
        </w:rPr>
      </w:pPr>
    </w:p>
    <w:p w14:paraId="049F4EA2" w14:textId="77777777" w:rsidR="00F148C6" w:rsidRDefault="00F148C6" w:rsidP="00F148C6">
      <w:pPr>
        <w:spacing w:line="276" w:lineRule="auto"/>
        <w:jc w:val="both"/>
        <w:rPr>
          <w:rFonts w:cs="MDDKIG+TimesNewRoman"/>
          <w:color w:val="000000"/>
          <w:szCs w:val="23"/>
        </w:rPr>
      </w:pPr>
    </w:p>
    <w:p w14:paraId="6E985558" w14:textId="77777777" w:rsidR="00F148C6" w:rsidRDefault="00F148C6" w:rsidP="00F148C6">
      <w:pPr>
        <w:spacing w:line="276" w:lineRule="auto"/>
        <w:jc w:val="both"/>
        <w:rPr>
          <w:rFonts w:cs="MDDKIG+TimesNewRoman"/>
          <w:color w:val="000000"/>
          <w:szCs w:val="23"/>
        </w:rPr>
      </w:pPr>
    </w:p>
    <w:p w14:paraId="650F0F85" w14:textId="77777777" w:rsidR="00F148C6" w:rsidRDefault="00F148C6" w:rsidP="00F148C6">
      <w:pPr>
        <w:spacing w:line="276" w:lineRule="auto"/>
        <w:jc w:val="both"/>
        <w:rPr>
          <w:rFonts w:cs="MDDKIG+TimesNewRoman"/>
          <w:color w:val="000000"/>
          <w:szCs w:val="23"/>
        </w:rPr>
      </w:pPr>
    </w:p>
    <w:p w14:paraId="0DD35994" w14:textId="77777777" w:rsidR="00F148C6" w:rsidRDefault="00F148C6" w:rsidP="00F148C6">
      <w:pPr>
        <w:spacing w:line="276" w:lineRule="auto"/>
        <w:jc w:val="both"/>
        <w:rPr>
          <w:rFonts w:cs="MDDKIG+TimesNewRoman"/>
          <w:color w:val="000000"/>
          <w:szCs w:val="23"/>
        </w:rPr>
      </w:pPr>
    </w:p>
    <w:p w14:paraId="00204AB3" w14:textId="77777777" w:rsidR="00F148C6" w:rsidRDefault="00F148C6" w:rsidP="00F148C6">
      <w:pPr>
        <w:spacing w:line="276" w:lineRule="auto"/>
        <w:jc w:val="both"/>
        <w:rPr>
          <w:rFonts w:cs="MDDKIG+TimesNewRoman"/>
          <w:color w:val="000000"/>
          <w:szCs w:val="23"/>
        </w:rPr>
      </w:pPr>
      <w:r>
        <w:rPr>
          <w:noProof/>
          <w:lang w:val="en-GB" w:eastAsia="en-GB"/>
        </w:rPr>
        <mc:AlternateContent>
          <mc:Choice Requires="wps">
            <w:drawing>
              <wp:anchor distT="0" distB="0" distL="114300" distR="114300" simplePos="0" relativeHeight="251667456" behindDoc="0" locked="0" layoutInCell="1" allowOverlap="1" wp14:anchorId="42EEAEFD" wp14:editId="59BBF0D5">
                <wp:simplePos x="0" y="0"/>
                <wp:positionH relativeFrom="margin">
                  <wp:align>left</wp:align>
                </wp:positionH>
                <wp:positionV relativeFrom="paragraph">
                  <wp:posOffset>176530</wp:posOffset>
                </wp:positionV>
                <wp:extent cx="5678805" cy="334010"/>
                <wp:effectExtent l="0" t="0" r="0" b="8890"/>
                <wp:wrapThrough wrapText="bothSides">
                  <wp:wrapPolygon edited="0">
                    <wp:start x="0" y="0"/>
                    <wp:lineTo x="0" y="20943"/>
                    <wp:lineTo x="21520" y="20943"/>
                    <wp:lineTo x="21520" y="0"/>
                    <wp:lineTo x="0" y="0"/>
                  </wp:wrapPolygon>
                </wp:wrapThrough>
                <wp:docPr id="16" name="Textové pole 16"/>
                <wp:cNvGraphicFramePr/>
                <a:graphic xmlns:a="http://schemas.openxmlformats.org/drawingml/2006/main">
                  <a:graphicData uri="http://schemas.microsoft.com/office/word/2010/wordprocessingShape">
                    <wps:wsp>
                      <wps:cNvSpPr txBox="1"/>
                      <wps:spPr>
                        <a:xfrm>
                          <a:off x="0" y="0"/>
                          <a:ext cx="5678805" cy="334108"/>
                        </a:xfrm>
                        <a:prstGeom prst="rect">
                          <a:avLst/>
                        </a:prstGeom>
                        <a:solidFill>
                          <a:prstClr val="white"/>
                        </a:solidFill>
                        <a:ln>
                          <a:noFill/>
                        </a:ln>
                      </wps:spPr>
                      <wps:txbx>
                        <w:txbxContent>
                          <w:p w14:paraId="4B6708E2" w14:textId="5E8287B4" w:rsidR="00771BF9" w:rsidRPr="00A5308A" w:rsidRDefault="00771BF9" w:rsidP="00F148C6">
                            <w:pPr>
                              <w:pStyle w:val="je1"/>
                              <w:spacing w:after="0"/>
                              <w:ind w:left="0"/>
                              <w:rPr>
                                <w:rFonts w:asciiTheme="minorHAnsi" w:hAnsiTheme="minorHAnsi" w:cs="Times New Roman"/>
                                <w:b/>
                                <w:sz w:val="18"/>
                                <w:szCs w:val="18"/>
                              </w:rPr>
                            </w:pPr>
                            <w:r w:rsidRPr="00A5308A">
                              <w:rPr>
                                <w:rFonts w:asciiTheme="minorHAnsi" w:hAnsiTheme="minorHAnsi"/>
                                <w:b/>
                                <w:sz w:val="18"/>
                                <w:szCs w:val="18"/>
                              </w:rPr>
                              <w:t xml:space="preserve">Obrázok </w:t>
                            </w:r>
                            <w:r w:rsidRPr="00A5308A">
                              <w:rPr>
                                <w:rFonts w:asciiTheme="minorHAnsi" w:hAnsiTheme="minorHAnsi"/>
                                <w:b/>
                                <w:sz w:val="18"/>
                                <w:szCs w:val="18"/>
                              </w:rPr>
                              <w:fldChar w:fldCharType="begin"/>
                            </w:r>
                            <w:r w:rsidRPr="00A5308A">
                              <w:rPr>
                                <w:rFonts w:asciiTheme="minorHAnsi" w:hAnsiTheme="minorHAnsi"/>
                                <w:b/>
                                <w:sz w:val="18"/>
                                <w:szCs w:val="18"/>
                              </w:rPr>
                              <w:instrText xml:space="preserve"> SEQ Obrázok \* ARABIC </w:instrText>
                            </w:r>
                            <w:r w:rsidRPr="00A5308A">
                              <w:rPr>
                                <w:rFonts w:asciiTheme="minorHAnsi" w:hAnsiTheme="minorHAnsi"/>
                                <w:b/>
                                <w:sz w:val="18"/>
                                <w:szCs w:val="18"/>
                              </w:rPr>
                              <w:fldChar w:fldCharType="separate"/>
                            </w:r>
                            <w:r>
                              <w:rPr>
                                <w:rFonts w:asciiTheme="minorHAnsi" w:hAnsiTheme="minorHAnsi"/>
                                <w:b/>
                                <w:noProof/>
                                <w:sz w:val="18"/>
                                <w:szCs w:val="18"/>
                              </w:rPr>
                              <w:t>2</w:t>
                            </w:r>
                            <w:r w:rsidRPr="00A5308A">
                              <w:rPr>
                                <w:rFonts w:asciiTheme="minorHAnsi" w:hAnsiTheme="minorHAnsi"/>
                                <w:b/>
                                <w:sz w:val="18"/>
                                <w:szCs w:val="18"/>
                              </w:rPr>
                              <w:fldChar w:fldCharType="end"/>
                            </w:r>
                            <w:r w:rsidRPr="00A5308A">
                              <w:rPr>
                                <w:rFonts w:asciiTheme="minorHAnsi" w:hAnsiTheme="minorHAnsi"/>
                                <w:b/>
                                <w:sz w:val="18"/>
                                <w:szCs w:val="18"/>
                              </w:rPr>
                              <w:t xml:space="preserve">. </w:t>
                            </w:r>
                            <w:r w:rsidRPr="00A5308A">
                              <w:rPr>
                                <w:rFonts w:asciiTheme="minorHAnsi" w:hAnsiTheme="minorHAnsi" w:cs="Times New Roman"/>
                                <w:b/>
                                <w:sz w:val="18"/>
                                <w:szCs w:val="18"/>
                              </w:rPr>
                              <w:t>Priemerná ročná teplota vzduchu v °C (vľavo) a priemerné množstvo atmosférických zrážok v mm za rok (vpravo) na území NP Slovenský raj v období rokov 1961-1990. Zdroj: SHMÚ</w:t>
                            </w:r>
                            <w:r>
                              <w:rPr>
                                <w:rFonts w:asciiTheme="minorHAnsi" w:hAnsiTheme="minorHAnsi" w:cs="Times New Roman"/>
                                <w:b/>
                                <w:sz w:val="18"/>
                                <w:szCs w:val="18"/>
                              </w:rPr>
                              <w:t>, 2018.</w:t>
                            </w:r>
                          </w:p>
                          <w:p w14:paraId="4ACCB094" w14:textId="77777777" w:rsidR="00771BF9" w:rsidRPr="001D0C58" w:rsidRDefault="00771BF9" w:rsidP="00F148C6">
                            <w:pPr>
                              <w:pStyle w:val="Popis"/>
                              <w:rPr>
                                <w:rFonts w:ascii="Times New Roman" w:hAnsi="Times New Roman" w:cs="Times New Roman"/>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EEAEFD" id="_x0000_t202" coordsize="21600,21600" o:spt="202" path="m,l,21600r21600,l21600,xe">
                <v:stroke joinstyle="miter"/>
                <v:path gradientshapeok="t" o:connecttype="rect"/>
              </v:shapetype>
              <v:shape id="Textové pole 16" o:spid="_x0000_s1026" type="#_x0000_t202" style="position:absolute;left:0;text-align:left;margin-left:0;margin-top:13.9pt;width:447.15pt;height:26.3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" stroked="f">
                <v:textbox inset="0,0,0,0">
                  <w:txbxContent>
                    <w:p w14:paraId="4B6708E2" w14:textId="5E8287B4" w:rsidR="00771BF9" w:rsidRPr="00A5308A" w:rsidRDefault="00771BF9" w:rsidP="00F148C6">
                      <w:pPr>
                        <w:pStyle w:val="je1"/>
                        <w:spacing w:after="0"/>
                        <w:ind w:left="0"/>
                        <w:rPr>
                          <w:rFonts w:asciiTheme="minorHAnsi" w:hAnsiTheme="minorHAnsi" w:cs="Times New Roman"/>
                          <w:b/>
                          <w:sz w:val="18"/>
                          <w:szCs w:val="18"/>
                        </w:rPr>
                      </w:pPr>
                      <w:r w:rsidRPr="00A5308A">
                        <w:rPr>
                          <w:rFonts w:asciiTheme="minorHAnsi" w:hAnsiTheme="minorHAnsi"/>
                          <w:b/>
                          <w:sz w:val="18"/>
                          <w:szCs w:val="18"/>
                        </w:rPr>
                        <w:t xml:space="preserve">Obrázok </w:t>
                      </w:r>
                      <w:r w:rsidRPr="00A5308A">
                        <w:rPr>
                          <w:rFonts w:asciiTheme="minorHAnsi" w:hAnsiTheme="minorHAnsi"/>
                          <w:b/>
                          <w:sz w:val="18"/>
                          <w:szCs w:val="18"/>
                        </w:rPr>
                        <w:fldChar w:fldCharType="begin"/>
                      </w:r>
                      <w:r w:rsidRPr="00A5308A">
                        <w:rPr>
                          <w:rFonts w:asciiTheme="minorHAnsi" w:hAnsiTheme="minorHAnsi"/>
                          <w:b/>
                          <w:sz w:val="18"/>
                          <w:szCs w:val="18"/>
                        </w:rPr>
                        <w:instrText xml:space="preserve"> SEQ Obrázok \* ARABIC </w:instrText>
                      </w:r>
                      <w:r w:rsidRPr="00A5308A">
                        <w:rPr>
                          <w:rFonts w:asciiTheme="minorHAnsi" w:hAnsiTheme="minorHAnsi"/>
                          <w:b/>
                          <w:sz w:val="18"/>
                          <w:szCs w:val="18"/>
                        </w:rPr>
                        <w:fldChar w:fldCharType="separate"/>
                      </w:r>
                      <w:r>
                        <w:rPr>
                          <w:rFonts w:asciiTheme="minorHAnsi" w:hAnsiTheme="minorHAnsi"/>
                          <w:b/>
                          <w:noProof/>
                          <w:sz w:val="18"/>
                          <w:szCs w:val="18"/>
                        </w:rPr>
                        <w:t>2</w:t>
                      </w:r>
                      <w:r w:rsidRPr="00A5308A">
                        <w:rPr>
                          <w:rFonts w:asciiTheme="minorHAnsi" w:hAnsiTheme="minorHAnsi"/>
                          <w:b/>
                          <w:sz w:val="18"/>
                          <w:szCs w:val="18"/>
                        </w:rPr>
                        <w:fldChar w:fldCharType="end"/>
                      </w:r>
                      <w:r w:rsidRPr="00A5308A">
                        <w:rPr>
                          <w:rFonts w:asciiTheme="minorHAnsi" w:hAnsiTheme="minorHAnsi"/>
                          <w:b/>
                          <w:sz w:val="18"/>
                          <w:szCs w:val="18"/>
                        </w:rPr>
                        <w:t xml:space="preserve">. </w:t>
                      </w:r>
                      <w:r w:rsidRPr="00A5308A">
                        <w:rPr>
                          <w:rFonts w:asciiTheme="minorHAnsi" w:hAnsiTheme="minorHAnsi" w:cs="Times New Roman"/>
                          <w:b/>
                          <w:sz w:val="18"/>
                          <w:szCs w:val="18"/>
                        </w:rPr>
                        <w:t>Priemerná ročná teplota vzduchu v °C (vľavo) a priemerné množstvo atmosférických zrážok v mm za rok (vpravo) na území NP Slovenský raj v období rokov 1961-1990. Zdroj: SHMÚ</w:t>
                      </w:r>
                      <w:r>
                        <w:rPr>
                          <w:rFonts w:asciiTheme="minorHAnsi" w:hAnsiTheme="minorHAnsi" w:cs="Times New Roman"/>
                          <w:b/>
                          <w:sz w:val="18"/>
                          <w:szCs w:val="18"/>
                        </w:rPr>
                        <w:t>, 2018.</w:t>
                      </w:r>
                    </w:p>
                    <w:p w14:paraId="4ACCB094" w14:textId="77777777" w:rsidR="00771BF9" w:rsidRPr="001D0C58" w:rsidRDefault="00771BF9" w:rsidP="00F148C6">
                      <w:pPr>
                        <w:pStyle w:val="Popis"/>
                        <w:rPr>
                          <w:rFonts w:ascii="Times New Roman" w:hAnsi="Times New Roman" w:cs="Times New Roman"/>
                          <w:noProof/>
                        </w:rPr>
                      </w:pPr>
                    </w:p>
                  </w:txbxContent>
                </v:textbox>
                <w10:wrap type="through" anchorx="margin"/>
              </v:shape>
            </w:pict>
          </mc:Fallback>
        </mc:AlternateContent>
      </w:r>
    </w:p>
    <w:p w14:paraId="71DE76E3" w14:textId="77777777" w:rsidR="00F148C6" w:rsidRPr="00430E99" w:rsidRDefault="00F148C6" w:rsidP="00F148C6">
      <w:pPr>
        <w:tabs>
          <w:tab w:val="left" w:pos="5262"/>
        </w:tabs>
        <w:rPr>
          <w:rFonts w:cs="MDDKIG+TimesNewRoman"/>
          <w:szCs w:val="23"/>
        </w:rPr>
      </w:pPr>
    </w:p>
    <w:p w14:paraId="7E83D5B4" w14:textId="77777777" w:rsidR="00F148C6" w:rsidRDefault="00F148C6" w:rsidP="00F148C6">
      <w:pPr>
        <w:keepNext/>
        <w:spacing w:line="276" w:lineRule="auto"/>
        <w:jc w:val="both"/>
      </w:pPr>
      <w:r>
        <w:rPr>
          <w:rFonts w:cs="MDDKIG+TimesNewRoman"/>
          <w:noProof/>
          <w:color w:val="000000"/>
          <w:szCs w:val="23"/>
          <w:lang w:val="en-GB" w:eastAsia="en-GB"/>
        </w:rPr>
        <w:drawing>
          <wp:inline distT="0" distB="0" distL="0" distR="0" wp14:anchorId="1A12FBD0" wp14:editId="65532BA2">
            <wp:extent cx="5760720" cy="1162050"/>
            <wp:effectExtent l="0" t="0" r="0" b="0"/>
            <wp:docPr id="17" name="Obrázok 17" descr="Výrez obrazov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F462A1.tmp"/>
                    <pic:cNvPicPr/>
                  </pic:nvPicPr>
                  <pic:blipFill>
                    <a:blip r:embed="rId19">
                      <a:extLst>
                        <a:ext uri="{28A0092B-C50C-407E-A947-70E740481C1C}">
                          <a14:useLocalDpi xmlns:a14="http://schemas.microsoft.com/office/drawing/2010/main" val="0"/>
                        </a:ext>
                      </a:extLst>
                    </a:blip>
                    <a:stretch>
                      <a:fillRect/>
                    </a:stretch>
                  </pic:blipFill>
                  <pic:spPr>
                    <a:xfrm>
                      <a:off x="0" y="0"/>
                      <a:ext cx="5760720" cy="1162050"/>
                    </a:xfrm>
                    <a:prstGeom prst="rect">
                      <a:avLst/>
                    </a:prstGeom>
                  </pic:spPr>
                </pic:pic>
              </a:graphicData>
            </a:graphic>
          </wp:inline>
        </w:drawing>
      </w:r>
    </w:p>
    <w:p w14:paraId="22AA508E" w14:textId="4B1A2921" w:rsidR="00F148C6" w:rsidRPr="00C14167" w:rsidRDefault="00F148C6" w:rsidP="00F148C6">
      <w:pPr>
        <w:pStyle w:val="Popis"/>
        <w:jc w:val="both"/>
        <w:rPr>
          <w:rFonts w:cs="MDDKIG+TimesNewRoman"/>
          <w:b/>
          <w:i w:val="0"/>
          <w:color w:val="auto"/>
        </w:rPr>
      </w:pPr>
      <w:r w:rsidRPr="00430E99">
        <w:rPr>
          <w:b/>
          <w:i w:val="0"/>
          <w:color w:val="auto"/>
        </w:rPr>
        <w:t xml:space="preserve">Obrázok </w:t>
      </w:r>
      <w:r w:rsidRPr="00430E99">
        <w:rPr>
          <w:b/>
          <w:i w:val="0"/>
          <w:color w:val="auto"/>
        </w:rPr>
        <w:fldChar w:fldCharType="begin"/>
      </w:r>
      <w:r w:rsidRPr="00430E99">
        <w:rPr>
          <w:b/>
          <w:i w:val="0"/>
          <w:color w:val="auto"/>
        </w:rPr>
        <w:instrText xml:space="preserve"> SEQ Obrázok \* ARABIC </w:instrText>
      </w:r>
      <w:r w:rsidRPr="00430E99">
        <w:rPr>
          <w:b/>
          <w:i w:val="0"/>
          <w:color w:val="auto"/>
        </w:rPr>
        <w:fldChar w:fldCharType="separate"/>
      </w:r>
      <w:r w:rsidR="006F524D">
        <w:rPr>
          <w:b/>
          <w:i w:val="0"/>
          <w:noProof/>
          <w:color w:val="auto"/>
        </w:rPr>
        <w:t>3</w:t>
      </w:r>
      <w:r w:rsidRPr="00430E99">
        <w:rPr>
          <w:b/>
          <w:i w:val="0"/>
          <w:color w:val="auto"/>
        </w:rPr>
        <w:fldChar w:fldCharType="end"/>
      </w:r>
      <w:r w:rsidRPr="00430E99">
        <w:rPr>
          <w:b/>
          <w:i w:val="0"/>
          <w:color w:val="auto"/>
        </w:rPr>
        <w:t xml:space="preserve">. Priemerná teplota vzduchu </w:t>
      </w:r>
      <w:r w:rsidRPr="00430E99">
        <w:rPr>
          <w:rFonts w:cs="Times New Roman"/>
          <w:b/>
          <w:i w:val="0"/>
          <w:color w:val="auto"/>
        </w:rPr>
        <w:t>v období 1961-1990, resp. 1991-2017 na troch klimatologických staniciach v oblasti NP Slovenský raj (Poprad, Telgárt, Švedlár). [Zdroj: SHMÚ]</w:t>
      </w:r>
    </w:p>
    <w:p w14:paraId="7AE11C4B" w14:textId="77777777" w:rsidR="00F148C6" w:rsidRDefault="00F148C6" w:rsidP="00F148C6">
      <w:pPr>
        <w:spacing w:line="276" w:lineRule="auto"/>
        <w:jc w:val="both"/>
        <w:rPr>
          <w:rFonts w:cs="MDDKIG+TimesNewRoman"/>
          <w:color w:val="000000"/>
          <w:szCs w:val="23"/>
        </w:rPr>
      </w:pPr>
      <w:r w:rsidRPr="00B019DB">
        <w:rPr>
          <w:rFonts w:cs="MDDKIG+TimesNewRoman"/>
          <w:color w:val="000000"/>
          <w:szCs w:val="23"/>
        </w:rPr>
        <w:t>Pod</w:t>
      </w:r>
      <w:r w:rsidRPr="00B019DB">
        <w:rPr>
          <w:rFonts w:cs="Times New Roman"/>
          <w:color w:val="000000"/>
          <w:szCs w:val="23"/>
        </w:rPr>
        <w:t>ľ</w:t>
      </w:r>
      <w:r w:rsidRPr="00B019DB">
        <w:rPr>
          <w:rFonts w:cs="MDDKIG+TimesNewRoman"/>
          <w:color w:val="000000"/>
          <w:szCs w:val="23"/>
        </w:rPr>
        <w:t xml:space="preserve">a </w:t>
      </w:r>
      <w:r w:rsidRPr="00B019DB">
        <w:rPr>
          <w:rFonts w:cs="Times New Roman"/>
          <w:color w:val="000000"/>
          <w:szCs w:val="23"/>
        </w:rPr>
        <w:t>Č</w:t>
      </w:r>
      <w:r w:rsidRPr="00B019DB">
        <w:rPr>
          <w:rFonts w:cs="MDDKIG+TimesNewRoman"/>
          <w:color w:val="000000"/>
          <w:szCs w:val="23"/>
        </w:rPr>
        <w:t xml:space="preserve">ermáka (1985) je najsuchšou </w:t>
      </w:r>
      <w:r w:rsidRPr="00B019DB">
        <w:rPr>
          <w:rFonts w:cs="Times New Roman"/>
          <w:color w:val="000000"/>
          <w:szCs w:val="23"/>
        </w:rPr>
        <w:t>č</w:t>
      </w:r>
      <w:r w:rsidRPr="00B019DB">
        <w:rPr>
          <w:rFonts w:cs="MDDKIG+TimesNewRoman"/>
          <w:color w:val="000000"/>
          <w:szCs w:val="23"/>
        </w:rPr>
        <w:t>as</w:t>
      </w:r>
      <w:r w:rsidRPr="00B019DB">
        <w:rPr>
          <w:rFonts w:cs="Times New Roman"/>
          <w:color w:val="000000"/>
          <w:szCs w:val="23"/>
        </w:rPr>
        <w:t>ť</w:t>
      </w:r>
      <w:r w:rsidRPr="00B019DB">
        <w:rPr>
          <w:rFonts w:cs="MDDKIG+TimesNewRoman"/>
          <w:color w:val="000000"/>
          <w:szCs w:val="23"/>
        </w:rPr>
        <w:t>ou Hornádska kotlina, ktorá je v zrážkovom tieni s ro</w:t>
      </w:r>
      <w:r w:rsidRPr="00B019DB">
        <w:rPr>
          <w:rFonts w:cs="Times New Roman"/>
          <w:color w:val="000000"/>
          <w:szCs w:val="23"/>
        </w:rPr>
        <w:t>č</w:t>
      </w:r>
      <w:r w:rsidRPr="00B019DB">
        <w:rPr>
          <w:rFonts w:cs="MDDKIG+TimesNewRoman"/>
          <w:color w:val="000000"/>
          <w:szCs w:val="23"/>
        </w:rPr>
        <w:t>ným úhrnom zrážok okolo 650 mm. Smerom na juh množstvo zrážok s pribúdajúcou výškou rapídne stúpa a zvyšuje sa najmä po</w:t>
      </w:r>
      <w:r w:rsidRPr="00B019DB">
        <w:rPr>
          <w:rFonts w:cs="Times New Roman"/>
          <w:color w:val="000000"/>
          <w:szCs w:val="23"/>
        </w:rPr>
        <w:t>č</w:t>
      </w:r>
      <w:r w:rsidRPr="00B019DB">
        <w:rPr>
          <w:rFonts w:cs="MDDKIG+TimesNewRoman"/>
          <w:color w:val="000000"/>
          <w:szCs w:val="23"/>
        </w:rPr>
        <w:t>et zrážkových dní. Náhorné plošiny Slovenského raja majú ro</w:t>
      </w:r>
      <w:r w:rsidRPr="00B019DB">
        <w:rPr>
          <w:rFonts w:cs="Times New Roman"/>
          <w:color w:val="000000"/>
          <w:szCs w:val="23"/>
        </w:rPr>
        <w:t>č</w:t>
      </w:r>
      <w:r w:rsidRPr="00B019DB">
        <w:rPr>
          <w:rFonts w:cs="MDDKIG+TimesNewRoman"/>
          <w:color w:val="000000"/>
          <w:szCs w:val="23"/>
        </w:rPr>
        <w:t xml:space="preserve">ný priemer zrážok </w:t>
      </w:r>
      <w:r w:rsidRPr="00B019DB">
        <w:rPr>
          <w:rFonts w:cs="MDDKIG+TimesNewRoman"/>
          <w:color w:val="000000"/>
          <w:szCs w:val="23"/>
        </w:rPr>
        <w:lastRenderedPageBreak/>
        <w:t xml:space="preserve">viac ako 900 mm a najvyššie položené vrcholy v juhozápadnej </w:t>
      </w:r>
      <w:r w:rsidRPr="00B019DB">
        <w:rPr>
          <w:rFonts w:cs="Times New Roman"/>
          <w:color w:val="000000"/>
          <w:szCs w:val="23"/>
        </w:rPr>
        <w:t>č</w:t>
      </w:r>
      <w:r w:rsidRPr="00B019DB">
        <w:rPr>
          <w:rFonts w:cs="MDDKIG+TimesNewRoman"/>
          <w:color w:val="000000"/>
          <w:szCs w:val="23"/>
        </w:rPr>
        <w:t>asti územia viac ako 1 000 mm zrážok. Z tohto množstva pripadá približne 64 % na vegeta</w:t>
      </w:r>
      <w:r w:rsidRPr="00B019DB">
        <w:rPr>
          <w:rFonts w:cs="Times New Roman"/>
          <w:color w:val="000000"/>
          <w:szCs w:val="23"/>
        </w:rPr>
        <w:t>č</w:t>
      </w:r>
      <w:r w:rsidRPr="00B019DB">
        <w:rPr>
          <w:rFonts w:cs="MDDKIG+TimesNewRoman"/>
          <w:color w:val="000000"/>
          <w:szCs w:val="23"/>
        </w:rPr>
        <w:t xml:space="preserve">né obdobie. </w:t>
      </w:r>
    </w:p>
    <w:p w14:paraId="290758BE" w14:textId="77777777" w:rsidR="00F148C6" w:rsidRPr="00B019DB" w:rsidRDefault="00F148C6" w:rsidP="00F148C6">
      <w:pPr>
        <w:spacing w:line="276" w:lineRule="auto"/>
        <w:jc w:val="both"/>
        <w:rPr>
          <w:rFonts w:cs="MDDKIG+TimesNewRoman"/>
          <w:color w:val="000000"/>
          <w:szCs w:val="23"/>
        </w:rPr>
      </w:pPr>
      <w:r w:rsidRPr="00B019DB">
        <w:rPr>
          <w:rFonts w:cs="MDDKIG+TimesNewRoman"/>
          <w:color w:val="000000"/>
          <w:szCs w:val="23"/>
        </w:rPr>
        <w:t>Na celoro</w:t>
      </w:r>
      <w:r w:rsidRPr="00B019DB">
        <w:rPr>
          <w:rFonts w:cs="Times New Roman"/>
          <w:color w:val="000000"/>
          <w:szCs w:val="23"/>
        </w:rPr>
        <w:t>č</w:t>
      </w:r>
      <w:r w:rsidRPr="00B019DB">
        <w:rPr>
          <w:rFonts w:cs="MDDKIG+TimesNewRoman"/>
          <w:color w:val="000000"/>
          <w:szCs w:val="23"/>
        </w:rPr>
        <w:t>nom úhrne zrážok sa najviac podie</w:t>
      </w:r>
      <w:r w:rsidRPr="00B019DB">
        <w:rPr>
          <w:rFonts w:cs="Times New Roman"/>
          <w:color w:val="000000"/>
          <w:szCs w:val="23"/>
        </w:rPr>
        <w:t>ľ</w:t>
      </w:r>
      <w:r w:rsidRPr="00B019DB">
        <w:rPr>
          <w:rFonts w:cs="MDDKIG+TimesNewRoman"/>
          <w:color w:val="000000"/>
          <w:szCs w:val="23"/>
        </w:rPr>
        <w:t xml:space="preserve">a zvýšená búrková </w:t>
      </w:r>
      <w:r w:rsidRPr="00B019DB">
        <w:rPr>
          <w:rFonts w:cs="Times New Roman"/>
          <w:color w:val="000000"/>
          <w:szCs w:val="23"/>
        </w:rPr>
        <w:t>č</w:t>
      </w:r>
      <w:r w:rsidRPr="00B019DB">
        <w:rPr>
          <w:rFonts w:cs="MDDKIG+TimesNewRoman"/>
          <w:color w:val="000000"/>
          <w:szCs w:val="23"/>
        </w:rPr>
        <w:t>innos</w:t>
      </w:r>
      <w:r w:rsidRPr="00B019DB">
        <w:rPr>
          <w:rFonts w:cs="Times New Roman"/>
          <w:color w:val="000000"/>
          <w:szCs w:val="23"/>
        </w:rPr>
        <w:t xml:space="preserve">ť </w:t>
      </w:r>
      <w:r w:rsidRPr="00B019DB">
        <w:rPr>
          <w:rFonts w:cs="MDDKIG+TimesNewRoman"/>
          <w:color w:val="000000"/>
          <w:szCs w:val="23"/>
        </w:rPr>
        <w:t xml:space="preserve">najmä v mesiacoch máj – august. </w:t>
      </w:r>
      <w:r w:rsidRPr="00A1279B">
        <w:rPr>
          <w:rFonts w:cs="MDDKIG+TimesNewRoman"/>
          <w:b/>
          <w:color w:val="000000"/>
          <w:szCs w:val="23"/>
        </w:rPr>
        <w:t>Po</w:t>
      </w:r>
      <w:r w:rsidRPr="00A1279B">
        <w:rPr>
          <w:rFonts w:cs="Times New Roman"/>
          <w:b/>
          <w:color w:val="000000"/>
          <w:szCs w:val="23"/>
        </w:rPr>
        <w:t>č</w:t>
      </w:r>
      <w:r w:rsidRPr="00A1279B">
        <w:rPr>
          <w:rFonts w:cs="MDDKIG+TimesNewRoman"/>
          <w:b/>
          <w:color w:val="000000"/>
          <w:szCs w:val="23"/>
        </w:rPr>
        <w:t>tom 50 až 65 búrkových dní do roka patrí územie do oblasti s naj</w:t>
      </w:r>
      <w:r w:rsidRPr="00A1279B">
        <w:rPr>
          <w:rFonts w:cs="Times New Roman"/>
          <w:b/>
          <w:color w:val="000000"/>
          <w:szCs w:val="23"/>
        </w:rPr>
        <w:t>č</w:t>
      </w:r>
      <w:r w:rsidRPr="00A1279B">
        <w:rPr>
          <w:rFonts w:cs="MDDKIG+TimesNewRoman"/>
          <w:b/>
          <w:color w:val="000000"/>
          <w:szCs w:val="23"/>
        </w:rPr>
        <w:t>astejšími búrkami na Slovensku.</w:t>
      </w:r>
      <w:r w:rsidRPr="00B019DB">
        <w:rPr>
          <w:rFonts w:cs="MDDKIG+TimesNewRoman"/>
          <w:color w:val="000000"/>
          <w:szCs w:val="23"/>
        </w:rPr>
        <w:t xml:space="preserve"> </w:t>
      </w:r>
      <w:r w:rsidRPr="00A1279B">
        <w:rPr>
          <w:rFonts w:cs="Times New Roman"/>
          <w:b/>
          <w:color w:val="000000"/>
          <w:szCs w:val="23"/>
        </w:rPr>
        <w:t>Č</w:t>
      </w:r>
      <w:r w:rsidRPr="00A1279B">
        <w:rPr>
          <w:rFonts w:cs="MDDKIG+TimesNewRoman"/>
          <w:b/>
          <w:color w:val="000000"/>
          <w:szCs w:val="23"/>
        </w:rPr>
        <w:t>asté sú najmä búrkové lejaky s pomerne intenzívnymi krátkodobými zrážkami.</w:t>
      </w:r>
      <w:r w:rsidRPr="00B019DB">
        <w:rPr>
          <w:rFonts w:cs="MDDKIG+TimesNewRoman"/>
          <w:color w:val="000000"/>
          <w:szCs w:val="23"/>
        </w:rPr>
        <w:t xml:space="preserve"> </w:t>
      </w:r>
    </w:p>
    <w:p w14:paraId="19E42F4B" w14:textId="77777777" w:rsidR="00F148C6" w:rsidRPr="00B019DB" w:rsidRDefault="00F148C6" w:rsidP="00F148C6">
      <w:pPr>
        <w:spacing w:after="240" w:line="276" w:lineRule="auto"/>
        <w:jc w:val="both"/>
        <w:rPr>
          <w:rFonts w:cs="MDDKIG+TimesNewRoman"/>
          <w:color w:val="000000"/>
          <w:szCs w:val="23"/>
        </w:rPr>
      </w:pPr>
      <w:r w:rsidRPr="00B019DB">
        <w:rPr>
          <w:rFonts w:cs="MDDKIG+TimesNewRoman"/>
          <w:color w:val="000000"/>
          <w:szCs w:val="23"/>
        </w:rPr>
        <w:t xml:space="preserve">Priemerná výška snehovej pokrývky v nižšie položených </w:t>
      </w:r>
      <w:r w:rsidRPr="00B019DB">
        <w:rPr>
          <w:rFonts w:cs="Times New Roman"/>
          <w:color w:val="000000"/>
          <w:szCs w:val="23"/>
        </w:rPr>
        <w:t>č</w:t>
      </w:r>
      <w:r w:rsidRPr="00B019DB">
        <w:rPr>
          <w:rFonts w:cs="MDDKIG+TimesNewRoman"/>
          <w:color w:val="000000"/>
          <w:szCs w:val="23"/>
        </w:rPr>
        <w:t>astiach (do 800 m n. m.) je 8,1 cm. Vo vyšších nadmorských výškach (náhorné plošiny) je 15,6 cm (</w:t>
      </w:r>
      <w:r w:rsidRPr="00B019DB">
        <w:rPr>
          <w:rFonts w:cs="Times New Roman"/>
          <w:color w:val="000000"/>
          <w:szCs w:val="23"/>
        </w:rPr>
        <w:t>Č</w:t>
      </w:r>
      <w:r w:rsidRPr="00B019DB">
        <w:rPr>
          <w:rFonts w:cs="MDDKIG+TimesNewRoman"/>
          <w:color w:val="000000"/>
          <w:szCs w:val="23"/>
        </w:rPr>
        <w:t>ermák 1985).</w:t>
      </w:r>
    </w:p>
    <w:p w14:paraId="72513D8D" w14:textId="375FC0A3" w:rsidR="00D852A6" w:rsidRPr="00C13434" w:rsidRDefault="00F148C6" w:rsidP="00C13434">
      <w:pPr>
        <w:spacing w:after="240" w:line="276" w:lineRule="auto"/>
        <w:jc w:val="both"/>
        <w:rPr>
          <w:rFonts w:cs="MDDKIG+TimesNewRoman"/>
          <w:color w:val="000000"/>
          <w:szCs w:val="23"/>
        </w:rPr>
      </w:pPr>
      <w:r w:rsidRPr="00B019DB">
        <w:rPr>
          <w:rFonts w:cs="MDDKIG+TimesNewRoman"/>
          <w:color w:val="000000"/>
          <w:szCs w:val="23"/>
        </w:rPr>
        <w:t>V celej oblasti prevláda západné až severozápadné prúdenie vzduchu. Priemerná ro</w:t>
      </w:r>
      <w:r w:rsidRPr="00B019DB">
        <w:rPr>
          <w:rFonts w:cs="Times New Roman"/>
          <w:color w:val="000000"/>
          <w:szCs w:val="23"/>
        </w:rPr>
        <w:t>č</w:t>
      </w:r>
      <w:r w:rsidRPr="00B019DB">
        <w:rPr>
          <w:rFonts w:cs="MDDKIG+TimesNewRoman"/>
          <w:color w:val="000000"/>
          <w:szCs w:val="23"/>
        </w:rPr>
        <w:t>ná rýchlos</w:t>
      </w:r>
      <w:r w:rsidRPr="00B019DB">
        <w:rPr>
          <w:rFonts w:cs="Times New Roman"/>
          <w:color w:val="000000"/>
          <w:szCs w:val="23"/>
        </w:rPr>
        <w:t xml:space="preserve">ť </w:t>
      </w:r>
      <w:r w:rsidRPr="00B019DB">
        <w:rPr>
          <w:rFonts w:cs="MDDKIG+TimesNewRoman"/>
          <w:color w:val="000000"/>
          <w:szCs w:val="23"/>
        </w:rPr>
        <w:t>vetra v nižších polohách je do 3 m.s</w:t>
      </w:r>
      <w:r w:rsidRPr="00B019DB">
        <w:rPr>
          <w:rFonts w:cs="MDDKIG+TimesNewRoman"/>
          <w:color w:val="000000"/>
          <w:szCs w:val="23"/>
          <w:vertAlign w:val="superscript"/>
        </w:rPr>
        <w:t>-1</w:t>
      </w:r>
      <w:r w:rsidRPr="00B019DB">
        <w:rPr>
          <w:rFonts w:cs="MDDKIG+TimesNewRoman"/>
          <w:color w:val="000000"/>
          <w:szCs w:val="23"/>
        </w:rPr>
        <w:t>, vo vyšších polohách do 5 m.s</w:t>
      </w:r>
      <w:r w:rsidRPr="00B019DB">
        <w:rPr>
          <w:rFonts w:cs="MDDKIG+TimesNewRoman"/>
          <w:color w:val="000000"/>
          <w:szCs w:val="23"/>
          <w:vertAlign w:val="superscript"/>
        </w:rPr>
        <w:t>-1</w:t>
      </w:r>
      <w:r w:rsidRPr="00B019DB">
        <w:rPr>
          <w:rFonts w:cs="MDDKIG+TimesNewRoman"/>
          <w:color w:val="000000"/>
          <w:szCs w:val="23"/>
        </w:rPr>
        <w:t>.</w:t>
      </w:r>
    </w:p>
    <w:p w14:paraId="669AC420" w14:textId="4110EF16" w:rsidR="00F148C6" w:rsidRPr="00D228CA" w:rsidRDefault="00B918D6" w:rsidP="00D228CA">
      <w:pPr>
        <w:spacing w:line="276" w:lineRule="auto"/>
        <w:jc w:val="both"/>
      </w:pPr>
      <w:r w:rsidRPr="00F148C6">
        <w:rPr>
          <w:color w:val="C45911" w:themeColor="accent2" w:themeShade="BF"/>
        </w:rPr>
        <w:t xml:space="preserve">- </w:t>
      </w:r>
      <w:r w:rsidRPr="00F148C6">
        <w:rPr>
          <w:b/>
          <w:color w:val="C45911" w:themeColor="accent2" w:themeShade="BF"/>
        </w:rPr>
        <w:t>hydrologické podmienky</w:t>
      </w:r>
      <w:r w:rsidRPr="00F148C6">
        <w:rPr>
          <w:color w:val="C45911" w:themeColor="accent2" w:themeShade="BF"/>
        </w:rPr>
        <w:t xml:space="preserve"> </w:t>
      </w:r>
      <w:r>
        <w:t>(výskyt vodných tokov a plochy, vodopády</w:t>
      </w:r>
      <w:r w:rsidR="00D228CA">
        <w:t>)</w:t>
      </w:r>
      <w:r>
        <w:t xml:space="preserve"> </w:t>
      </w:r>
      <w:r w:rsidR="00F148C6" w:rsidRPr="00B019DB">
        <w:t>Územie Slovenského raja je zásobované hlavne z ve</w:t>
      </w:r>
      <w:r w:rsidR="00F148C6" w:rsidRPr="00B019DB">
        <w:rPr>
          <w:rFonts w:cs="Times New Roman"/>
        </w:rPr>
        <w:t>ľ</w:t>
      </w:r>
      <w:r w:rsidR="00F148C6" w:rsidRPr="00B019DB">
        <w:t>kého obehu vody, ktoré prinášajú od oceánu severozápadné vetry. Slovenský raj je v daž</w:t>
      </w:r>
      <w:r w:rsidR="00F148C6" w:rsidRPr="00B019DB">
        <w:rPr>
          <w:rFonts w:cs="Times New Roman"/>
        </w:rPr>
        <w:t>ď</w:t>
      </w:r>
      <w:r w:rsidR="00F148C6" w:rsidRPr="00B019DB">
        <w:t>ovom tieni Vysokých a Nízkych Tatier, preto dostáva menej zrážok akoby mal ma</w:t>
      </w:r>
      <w:r w:rsidR="00F148C6" w:rsidRPr="00B019DB">
        <w:rPr>
          <w:rFonts w:cs="Times New Roman"/>
        </w:rPr>
        <w:t xml:space="preserve">ť </w:t>
      </w:r>
      <w:r w:rsidR="00F148C6" w:rsidRPr="00B019DB">
        <w:t>pod</w:t>
      </w:r>
      <w:r w:rsidR="00F148C6" w:rsidRPr="00B019DB">
        <w:rPr>
          <w:rFonts w:cs="Times New Roman"/>
        </w:rPr>
        <w:t>ľ</w:t>
      </w:r>
      <w:r w:rsidR="00F148C6" w:rsidRPr="00B019DB">
        <w:t xml:space="preserve">a svojej nadmorskej výšky. </w:t>
      </w:r>
      <w:r w:rsidR="00F148C6">
        <w:rPr>
          <w:rFonts w:cs="MDDKIG+TimesNewRoman"/>
          <w:color w:val="000000"/>
          <w:szCs w:val="24"/>
        </w:rPr>
        <w:t xml:space="preserve">Z hydrogeologického hľadiska </w:t>
      </w:r>
      <w:r w:rsidR="00F148C6" w:rsidRPr="00B019DB">
        <w:rPr>
          <w:rFonts w:cs="MDDKIG+TimesNewRoman"/>
          <w:color w:val="000000"/>
          <w:szCs w:val="24"/>
        </w:rPr>
        <w:t xml:space="preserve">najvýznamnejší typ hornín </w:t>
      </w:r>
      <w:r w:rsidR="00F148C6">
        <w:rPr>
          <w:rFonts w:cs="MDDKIG+TimesNewRoman"/>
          <w:color w:val="000000"/>
          <w:szCs w:val="24"/>
        </w:rPr>
        <w:t xml:space="preserve">tvoria </w:t>
      </w:r>
      <w:r w:rsidR="00F148C6" w:rsidRPr="00B019DB">
        <w:rPr>
          <w:rFonts w:cs="MDDKIG+TimesNewRoman"/>
          <w:color w:val="000000"/>
          <w:szCs w:val="24"/>
        </w:rPr>
        <w:t>Karbonátové horniny – vápence a</w:t>
      </w:r>
      <w:r w:rsidR="00F148C6">
        <w:rPr>
          <w:rFonts w:cs="MDDKIG+TimesNewRoman"/>
          <w:color w:val="000000"/>
          <w:szCs w:val="24"/>
        </w:rPr>
        <w:t> </w:t>
      </w:r>
      <w:r w:rsidR="00F148C6" w:rsidRPr="00B019DB">
        <w:rPr>
          <w:rFonts w:cs="MDDKIG+TimesNewRoman"/>
          <w:color w:val="000000"/>
          <w:szCs w:val="24"/>
        </w:rPr>
        <w:t>dolomity</w:t>
      </w:r>
      <w:r w:rsidR="00F148C6">
        <w:rPr>
          <w:rFonts w:cs="MDDKIG+TimesNewRoman"/>
          <w:color w:val="000000"/>
          <w:szCs w:val="24"/>
        </w:rPr>
        <w:t>.</w:t>
      </w:r>
      <w:r w:rsidR="00F148C6" w:rsidRPr="00B019DB">
        <w:rPr>
          <w:rFonts w:cs="MDDKIG+TimesNewRoman"/>
          <w:color w:val="000000"/>
          <w:szCs w:val="24"/>
        </w:rPr>
        <w:t xml:space="preserve"> Sú zna</w:t>
      </w:r>
      <w:r w:rsidR="00F148C6" w:rsidRPr="00B019DB">
        <w:rPr>
          <w:rFonts w:cs="Times New Roman"/>
          <w:color w:val="000000"/>
          <w:szCs w:val="24"/>
        </w:rPr>
        <w:t>č</w:t>
      </w:r>
      <w:r w:rsidR="00F148C6" w:rsidRPr="00B019DB">
        <w:rPr>
          <w:rFonts w:cs="MDDKIG+TimesNewRoman"/>
          <w:color w:val="000000"/>
          <w:szCs w:val="24"/>
        </w:rPr>
        <w:t xml:space="preserve">ne rozpukané a tektonicky porušené. Vo vápencoch prevláda </w:t>
      </w:r>
      <w:r w:rsidR="00F148C6" w:rsidRPr="00D228CA">
        <w:rPr>
          <w:rFonts w:cs="MDDKIG+TimesNewRoman"/>
          <w:b/>
          <w:color w:val="000000"/>
          <w:szCs w:val="24"/>
        </w:rPr>
        <w:t>krasová priepustnos</w:t>
      </w:r>
      <w:r w:rsidR="00F148C6" w:rsidRPr="00D228CA">
        <w:rPr>
          <w:rFonts w:cs="Times New Roman"/>
          <w:b/>
          <w:color w:val="000000"/>
          <w:szCs w:val="24"/>
        </w:rPr>
        <w:t>ť</w:t>
      </w:r>
      <w:r w:rsidR="00F148C6" w:rsidRPr="00B019DB">
        <w:rPr>
          <w:rFonts w:cs="Times New Roman"/>
          <w:color w:val="000000"/>
          <w:szCs w:val="24"/>
        </w:rPr>
        <w:t xml:space="preserve"> </w:t>
      </w:r>
      <w:r w:rsidR="00F148C6" w:rsidRPr="00B019DB">
        <w:rPr>
          <w:rFonts w:cs="MDDKIG+TimesNewRoman"/>
          <w:color w:val="000000"/>
          <w:szCs w:val="24"/>
        </w:rPr>
        <w:t>a v dolomitoch puklinová.</w:t>
      </w:r>
      <w:r w:rsidR="00D228CA">
        <w:rPr>
          <w:rFonts w:cs="MDDKIG+TimesNewRoman"/>
          <w:color w:val="000000"/>
          <w:szCs w:val="24"/>
        </w:rPr>
        <w:t xml:space="preserve"> </w:t>
      </w:r>
      <w:r w:rsidR="00D228CA">
        <w:t xml:space="preserve">Štátna ochrana prírody SR eviduje v území </w:t>
      </w:r>
      <w:r w:rsidR="00D228CA" w:rsidRPr="00D228CA">
        <w:rPr>
          <w:b/>
        </w:rPr>
        <w:t>91 vodopádov</w:t>
      </w:r>
      <w:r w:rsidR="00D228CA">
        <w:t xml:space="preserve"> vo svojom zozname prírodných vodopádov Slovenska, čo je najviac zo všetkých veľkoplošných chránených území). </w:t>
      </w:r>
    </w:p>
    <w:p w14:paraId="220324F1" w14:textId="3D05C299" w:rsidR="00F148C6" w:rsidRPr="001A3414" w:rsidRDefault="00F148C6" w:rsidP="00D228CA">
      <w:pPr>
        <w:pStyle w:val="Normln"/>
        <w:spacing w:after="240" w:line="276" w:lineRule="auto"/>
        <w:jc w:val="both"/>
        <w:rPr>
          <w:rFonts w:asciiTheme="minorHAnsi" w:hAnsiTheme="minorHAnsi" w:cstheme="minorHAnsi"/>
          <w:color w:val="000000"/>
          <w:sz w:val="22"/>
        </w:rPr>
      </w:pPr>
      <w:r w:rsidRPr="001A3414">
        <w:rPr>
          <w:rFonts w:asciiTheme="minorHAnsi" w:hAnsiTheme="minorHAnsi" w:cstheme="minorHAnsi"/>
          <w:sz w:val="22"/>
        </w:rPr>
        <w:t xml:space="preserve">Záujmové územie je súčasťou povodia Hornádu, ktoré predstavuje druhý najväčší riečny systém východného Slovenska. Územím prechádza (cez Muráň a Veľkú Knolu) rozvodnica základných povodí 4-32-01 (povodie Hornádu po Hnilec) a 4-43-02 (povodie Hnilca). Dotknuté územie je odvodňované najmä Hornádom s prítokmi a v južné časti Hnilcom. </w:t>
      </w:r>
      <w:r w:rsidRPr="001A3414">
        <w:rPr>
          <w:rFonts w:asciiTheme="minorHAnsi" w:hAnsiTheme="minorHAnsi" w:cstheme="minorHAnsi"/>
          <w:color w:val="000000"/>
          <w:sz w:val="22"/>
        </w:rPr>
        <w:t>Z hydrologického hľadiska ide o toky typu</w:t>
      </w:r>
      <w:r w:rsidR="00D228CA">
        <w:rPr>
          <w:rFonts w:asciiTheme="minorHAnsi" w:hAnsiTheme="minorHAnsi" w:cstheme="minorHAnsi"/>
          <w:color w:val="000000"/>
          <w:sz w:val="22"/>
        </w:rPr>
        <w:t xml:space="preserve"> </w:t>
      </w:r>
      <w:r w:rsidRPr="001A3414">
        <w:rPr>
          <w:rFonts w:asciiTheme="minorHAnsi" w:hAnsiTheme="minorHAnsi" w:cstheme="minorHAnsi"/>
          <w:color w:val="000000"/>
          <w:sz w:val="22"/>
        </w:rPr>
        <w:t>stredohorských riek.</w:t>
      </w:r>
      <w:r>
        <w:rPr>
          <w:rFonts w:asciiTheme="minorHAnsi" w:hAnsiTheme="minorHAnsi" w:cstheme="minorHAnsi"/>
          <w:color w:val="000000"/>
          <w:sz w:val="22"/>
        </w:rPr>
        <w:t xml:space="preserve"> </w:t>
      </w:r>
      <w:r w:rsidRPr="001A3414">
        <w:rPr>
          <w:rFonts w:asciiTheme="minorHAnsi" w:hAnsiTheme="minorHAnsi" w:cstheme="minorHAnsi"/>
          <w:color w:val="000000"/>
          <w:sz w:val="22"/>
        </w:rPr>
        <w:t>Priemerný prietok Hornádu je 6,21 m</w:t>
      </w:r>
      <w:r w:rsidR="0026745F" w:rsidRPr="0026745F">
        <w:rPr>
          <w:rFonts w:asciiTheme="minorHAnsi" w:hAnsiTheme="minorHAnsi" w:cstheme="minorHAnsi"/>
          <w:color w:val="000000"/>
          <w:sz w:val="22"/>
          <w:vertAlign w:val="superscript"/>
        </w:rPr>
        <w:t>3</w:t>
      </w:r>
      <w:r w:rsidRPr="001A3414">
        <w:rPr>
          <w:rFonts w:asciiTheme="minorHAnsi" w:hAnsiTheme="minorHAnsi" w:cstheme="minorHAnsi"/>
          <w:color w:val="000000"/>
          <w:sz w:val="22"/>
        </w:rPr>
        <w:t xml:space="preserve">. </w:t>
      </w:r>
      <w:r w:rsidR="0026745F">
        <w:rPr>
          <w:rFonts w:asciiTheme="minorHAnsi" w:hAnsiTheme="minorHAnsi" w:cstheme="minorHAnsi"/>
          <w:color w:val="000000"/>
          <w:sz w:val="22"/>
        </w:rPr>
        <w:t>s</w:t>
      </w:r>
      <w:r w:rsidR="0026745F" w:rsidRPr="0026745F">
        <w:rPr>
          <w:rFonts w:asciiTheme="minorHAnsi" w:hAnsiTheme="minorHAnsi" w:cstheme="minorHAnsi"/>
          <w:color w:val="000000"/>
          <w:sz w:val="22"/>
          <w:vertAlign w:val="superscript"/>
        </w:rPr>
        <w:t>-1</w:t>
      </w:r>
      <w:r w:rsidRPr="001A3414">
        <w:rPr>
          <w:rFonts w:asciiTheme="minorHAnsi" w:hAnsiTheme="minorHAnsi" w:cstheme="minorHAnsi"/>
          <w:color w:val="000000"/>
          <w:position w:val="12"/>
          <w:sz w:val="22"/>
          <w:vertAlign w:val="superscript"/>
        </w:rPr>
        <w:t xml:space="preserve"> </w:t>
      </w:r>
      <w:r w:rsidRPr="001A3414">
        <w:rPr>
          <w:rFonts w:asciiTheme="minorHAnsi" w:hAnsiTheme="minorHAnsi" w:cstheme="minorHAnsi"/>
          <w:color w:val="000000"/>
          <w:sz w:val="22"/>
        </w:rPr>
        <w:t>a Hnilca 0,95 m</w:t>
      </w:r>
      <w:r w:rsidR="0026745F" w:rsidRPr="0026745F">
        <w:rPr>
          <w:rFonts w:asciiTheme="minorHAnsi" w:hAnsiTheme="minorHAnsi" w:cstheme="minorHAnsi"/>
          <w:color w:val="000000"/>
          <w:sz w:val="22"/>
          <w:szCs w:val="22"/>
          <w:vertAlign w:val="superscript"/>
        </w:rPr>
        <w:t>3</w:t>
      </w:r>
      <w:r w:rsidRPr="001A3414">
        <w:rPr>
          <w:rFonts w:asciiTheme="minorHAnsi" w:hAnsiTheme="minorHAnsi" w:cstheme="minorHAnsi"/>
          <w:color w:val="000000"/>
          <w:sz w:val="22"/>
        </w:rPr>
        <w:t>. s</w:t>
      </w:r>
      <w:r w:rsidR="0026745F" w:rsidRPr="0026745F">
        <w:rPr>
          <w:rFonts w:asciiTheme="minorHAnsi" w:hAnsiTheme="minorHAnsi" w:cstheme="minorHAnsi"/>
          <w:color w:val="000000"/>
          <w:sz w:val="22"/>
          <w:vertAlign w:val="superscript"/>
        </w:rPr>
        <w:t>-1</w:t>
      </w:r>
      <w:r w:rsidRPr="001A3414">
        <w:rPr>
          <w:rFonts w:asciiTheme="minorHAnsi" w:hAnsiTheme="minorHAnsi" w:cstheme="minorHAnsi"/>
          <w:color w:val="000000"/>
          <w:sz w:val="22"/>
        </w:rPr>
        <w:t xml:space="preserve">. </w:t>
      </w:r>
      <w:r w:rsidRPr="001A3414">
        <w:rPr>
          <w:rFonts w:asciiTheme="minorHAnsi" w:hAnsiTheme="minorHAnsi" w:cstheme="minorHAnsi"/>
          <w:sz w:val="22"/>
        </w:rPr>
        <w:t xml:space="preserve">Typ režimu povrchového odtoku oboch tokov je snehovo – dažďový s akumuláciou v období november – február a s vysokou vodnosťou v marci až v máji, s mierne výrazným podružným zvýšením vodnosti koncom jesene a začiatkom zimy. </w:t>
      </w:r>
      <w:r w:rsidRPr="00D228CA">
        <w:rPr>
          <w:rFonts w:asciiTheme="minorHAnsi" w:hAnsiTheme="minorHAnsi" w:cstheme="minorHAnsi"/>
          <w:b/>
          <w:sz w:val="22"/>
        </w:rPr>
        <w:t>Ľadové úkazy na vodných tokoch</w:t>
      </w:r>
      <w:r w:rsidRPr="001A3414">
        <w:rPr>
          <w:rFonts w:asciiTheme="minorHAnsi" w:hAnsiTheme="minorHAnsi" w:cstheme="minorHAnsi"/>
          <w:sz w:val="22"/>
        </w:rPr>
        <w:t xml:space="preserve"> začínajú zvyčajne začiatkom decembra a vyskytujú sa do začiatku marca.</w:t>
      </w:r>
    </w:p>
    <w:p w14:paraId="43EC45C0" w14:textId="5C27F039" w:rsidR="00F148C6" w:rsidRDefault="00F148C6" w:rsidP="00B85779">
      <w:pPr>
        <w:spacing w:after="240" w:line="276" w:lineRule="auto"/>
        <w:jc w:val="both"/>
        <w:rPr>
          <w:szCs w:val="24"/>
        </w:rPr>
      </w:pPr>
      <w:r w:rsidRPr="00B019DB">
        <w:rPr>
          <w:szCs w:val="24"/>
        </w:rPr>
        <w:t xml:space="preserve">Kvalita vody </w:t>
      </w:r>
      <w:r w:rsidRPr="00D228CA">
        <w:rPr>
          <w:szCs w:val="24"/>
        </w:rPr>
        <w:t>rieky Hornád</w:t>
      </w:r>
      <w:r w:rsidRPr="00B019DB">
        <w:rPr>
          <w:szCs w:val="24"/>
        </w:rPr>
        <w:t xml:space="preserve"> v úseku nad odstaveným vodárenským odberom v Smižanskej Maši dosahuje hygienicky prijateľné parametre – základné fyzikálno-chemické ukazovatele sú prekročené až v úseku od mesta Spišská Nová Ves (III. trieda znečistenia). </w:t>
      </w:r>
      <w:r w:rsidRPr="00B85779">
        <w:rPr>
          <w:szCs w:val="24"/>
        </w:rPr>
        <w:t>Rieka Hnilec</w:t>
      </w:r>
      <w:r w:rsidRPr="00B019DB">
        <w:rPr>
          <w:szCs w:val="24"/>
        </w:rPr>
        <w:t xml:space="preserve"> je z hľadiska základných fyzikálno-chemických ukazovateľov znečistená až od obce Mníšek n/Hnilcom (III. trieda znečistenia) v súvislom úseku až po vtok do Hornádu. Hygienicky čistá voda sa odvádza i do povodia Slanej a aj na Hnilci sa udrží až po prítok Smolníckeho potoka. </w:t>
      </w:r>
      <w:r w:rsidRPr="00B85779">
        <w:rPr>
          <w:szCs w:val="24"/>
        </w:rPr>
        <w:t>Rieka Slaná</w:t>
      </w:r>
      <w:r w:rsidRPr="00B019DB">
        <w:rPr>
          <w:szCs w:val="24"/>
        </w:rPr>
        <w:t xml:space="preserve"> má v hornom úseku po prítok Dobšinského potoka, ktorý je znečistený v dôsledku činnosti podniku Vodárne a kanalizácie Dobšiná, vyhovujúcu kvalitu (I. a II. Trieda znečistenia). </w:t>
      </w:r>
    </w:p>
    <w:p w14:paraId="5A3C9F48" w14:textId="188EFA57" w:rsidR="00F148C6" w:rsidRPr="00F148C6" w:rsidRDefault="00F148C6" w:rsidP="00F148C6">
      <w:pPr>
        <w:spacing w:after="240" w:line="276" w:lineRule="auto"/>
        <w:jc w:val="both"/>
        <w:rPr>
          <w:szCs w:val="24"/>
        </w:rPr>
      </w:pPr>
      <w:r>
        <w:rPr>
          <w:szCs w:val="24"/>
        </w:rPr>
        <w:t>N</w:t>
      </w:r>
      <w:r w:rsidRPr="00B019DB">
        <w:rPr>
          <w:szCs w:val="24"/>
        </w:rPr>
        <w:t xml:space="preserve">ajväčšou vodnou plochou </w:t>
      </w:r>
      <w:r>
        <w:rPr>
          <w:szCs w:val="24"/>
        </w:rPr>
        <w:t xml:space="preserve">v Slovenskom raji je </w:t>
      </w:r>
      <w:r w:rsidRPr="00B019DB">
        <w:rPr>
          <w:b/>
          <w:szCs w:val="24"/>
        </w:rPr>
        <w:t>vodná nádrž Palcmanská Maša</w:t>
      </w:r>
      <w:r w:rsidRPr="00B019DB">
        <w:rPr>
          <w:szCs w:val="24"/>
        </w:rPr>
        <w:t xml:space="preserve"> (pri obci Dedinky), ktorá leží v hornom úseku rieky Hnilec v nadm. výške hladiny 786,1 m n.</w:t>
      </w:r>
      <w:r w:rsidR="00B85779">
        <w:rPr>
          <w:szCs w:val="24"/>
        </w:rPr>
        <w:t xml:space="preserve"> </w:t>
      </w:r>
      <w:r w:rsidRPr="00B019DB">
        <w:rPr>
          <w:szCs w:val="24"/>
        </w:rPr>
        <w:t>m. Zatopená plocha vodnej nádrže dosahuje 0,865 km</w:t>
      </w:r>
      <w:r w:rsidRPr="00B85779">
        <w:rPr>
          <w:szCs w:val="24"/>
          <w:vertAlign w:val="superscript"/>
        </w:rPr>
        <w:t>2</w:t>
      </w:r>
      <w:r w:rsidRPr="00B019DB">
        <w:rPr>
          <w:szCs w:val="24"/>
        </w:rPr>
        <w:t>, ovládateľný objem vody predstavuje 10,355 mil. m</w:t>
      </w:r>
      <w:r w:rsidRPr="00B85779">
        <w:rPr>
          <w:szCs w:val="24"/>
          <w:vertAlign w:val="superscript"/>
        </w:rPr>
        <w:t>3</w:t>
      </w:r>
      <w:r w:rsidRPr="00B019DB">
        <w:rPr>
          <w:szCs w:val="24"/>
        </w:rPr>
        <w:t xml:space="preserve">. Využíva sa na </w:t>
      </w:r>
      <w:r w:rsidRPr="00B85779">
        <w:rPr>
          <w:b/>
          <w:szCs w:val="24"/>
        </w:rPr>
        <w:t>energetické účely, rekreáciu a chov rýb</w:t>
      </w:r>
      <w:r w:rsidRPr="00B019DB">
        <w:rPr>
          <w:szCs w:val="24"/>
        </w:rPr>
        <w:t>.</w:t>
      </w:r>
    </w:p>
    <w:p w14:paraId="2FFA21B1" w14:textId="239C3B2C" w:rsidR="00F148C6" w:rsidRPr="00F148C6" w:rsidRDefault="00F148C6" w:rsidP="00F148C6">
      <w:pPr>
        <w:spacing w:after="240" w:line="276" w:lineRule="auto"/>
        <w:jc w:val="both"/>
        <w:rPr>
          <w:szCs w:val="24"/>
        </w:rPr>
      </w:pPr>
      <w:r w:rsidRPr="00B019DB">
        <w:rPr>
          <w:szCs w:val="24"/>
        </w:rPr>
        <w:t xml:space="preserve">Záujmové územie predstavuje z vodohospodárskeho aspektu infiltračnú oblasť pre tvorbu zásob podzemných vôd v regióne stredného Spiša. Dotknuté územie podľa Hydrogeologickej rajonizácie </w:t>
      </w:r>
      <w:r w:rsidRPr="00B019DB">
        <w:rPr>
          <w:szCs w:val="24"/>
        </w:rPr>
        <w:lastRenderedPageBreak/>
        <w:t>Slovenska (Slovenský hydrometeorologický ústav, Bratislava 1984) patrí do hydrogeologického rajónu QG 116 Mezozoikum Slovenského raja a Havraních vrchov s priľahlým paleozoikom. Je charakteristická nízkou hydrogeologickou produktivitou - obsahuje využiteľné množstvá podzemných vôd v objeme 400 – 800 l.s</w:t>
      </w:r>
      <w:r w:rsidRPr="00B019DB">
        <w:rPr>
          <w:szCs w:val="24"/>
          <w:vertAlign w:val="superscript"/>
        </w:rPr>
        <w:t>-1</w:t>
      </w:r>
      <w:r w:rsidRPr="00B019DB">
        <w:rPr>
          <w:szCs w:val="24"/>
        </w:rPr>
        <w:t>. Na území Slovenského raja je viacero prameňov, ktoré sa podľa nadmorskej výšky výveru a výdatnosti delia na planinov</w:t>
      </w:r>
      <w:r>
        <w:rPr>
          <w:szCs w:val="24"/>
        </w:rPr>
        <w:t>é</w:t>
      </w:r>
      <w:r w:rsidRPr="00B019DB">
        <w:rPr>
          <w:szCs w:val="24"/>
        </w:rPr>
        <w:t xml:space="preserve"> (17 v celom území Slovenského raja) a dolinné (21 v celom území).</w:t>
      </w:r>
      <w:r w:rsidR="00B85779">
        <w:rPr>
          <w:szCs w:val="24"/>
        </w:rPr>
        <w:t xml:space="preserve"> </w:t>
      </w:r>
      <w:r w:rsidRPr="00B019DB">
        <w:rPr>
          <w:szCs w:val="24"/>
        </w:rPr>
        <w:t>Z hľadiska hodnotenia kvality podzemných vôd ako zdrojov pitnej vody (podľa STN 75 7111) sa celé územie vyznačuje pomerne priaznivými parametrami – z celkového počtu sledovaných zdrojov je len cca 3,7% hygienicky nevyhovujúcich. Z aspektu dlhodobého trendu je pozorované stabilné zlepšovanie kvality podzemných vôd v území</w:t>
      </w:r>
    </w:p>
    <w:p w14:paraId="29EB47B6" w14:textId="77777777" w:rsidR="00F148C6" w:rsidRPr="00F148C6" w:rsidRDefault="00F148C6" w:rsidP="00F148C6">
      <w:pPr>
        <w:spacing w:after="240" w:line="276" w:lineRule="auto"/>
        <w:jc w:val="both"/>
        <w:rPr>
          <w:szCs w:val="24"/>
        </w:rPr>
      </w:pPr>
      <w:r w:rsidRPr="00B019DB">
        <w:rPr>
          <w:szCs w:val="24"/>
        </w:rPr>
        <w:t>V hodnotenom území PVS a.s. Poprad zabezpečuje dodávku pitnej vody do Skupinového vodovodu Spišská Nová Ves – Levoča z vodných zdrojov: Fleischer (6 prameňov), Pod Lanovkou (2 pramene), Csáky (4 pramene), Starý Gyula (1 prameň), Holubnica (odber z povrchového toku).</w:t>
      </w:r>
      <w:r>
        <w:rPr>
          <w:szCs w:val="24"/>
        </w:rPr>
        <w:t xml:space="preserve"> </w:t>
      </w:r>
      <w:r w:rsidRPr="00B019DB">
        <w:rPr>
          <w:szCs w:val="24"/>
        </w:rPr>
        <w:t>V lokalite Hnilčík – Bindt je evidovaný prameň minerálnej vody, cca 1,2 km SV od osady Bindt. Prameň vyviera zo sutí fylitov a zlepencov v terénnej depresii. Výdatnosť prameňa je 1,2 l/s, celková mineralizácia je 2,2 g/l, teplota vody 9oC, obsah CO2 je 20,7 mg/l. Podľa STN ide o vodu prírodnú, slabo mineralizovanú, síranovú, vápenatú, hypotonickú, studenú. Prameň nie je využívaný. Najbližšie overené zdroje geotermálnej vody sú v Arnutovciach (11,8 l/s, 0,79 MW) a v Letanovciach (8,3 l/s, 0,33 MW).</w:t>
      </w:r>
    </w:p>
    <w:p w14:paraId="6177A96D" w14:textId="38EE4D01" w:rsidR="00F148C6" w:rsidRPr="0023163C" w:rsidRDefault="00F148C6" w:rsidP="0023163C">
      <w:pPr>
        <w:spacing w:after="240" w:line="276" w:lineRule="auto"/>
        <w:jc w:val="both"/>
        <w:rPr>
          <w:szCs w:val="24"/>
        </w:rPr>
      </w:pPr>
      <w:r w:rsidRPr="00B019DB">
        <w:rPr>
          <w:szCs w:val="24"/>
        </w:rPr>
        <w:t xml:space="preserve">Do záujmového územia zasahuje z juhu Chránená vodohospodárska oblasť (CHVO) Horného povodia rieky Hnilec a z východu východná časť CHVO Nízke Tatry. </w:t>
      </w:r>
      <w:r>
        <w:rPr>
          <w:szCs w:val="24"/>
        </w:rPr>
        <w:t>K</w:t>
      </w:r>
      <w:r w:rsidRPr="00B019DB">
        <w:rPr>
          <w:szCs w:val="24"/>
        </w:rPr>
        <w:t xml:space="preserve"> vodohospodársky významným tokom </w:t>
      </w:r>
      <w:r>
        <w:rPr>
          <w:szCs w:val="24"/>
        </w:rPr>
        <w:t>v</w:t>
      </w:r>
      <w:r w:rsidRPr="00B019DB">
        <w:rPr>
          <w:szCs w:val="24"/>
        </w:rPr>
        <w:t xml:space="preserve"> území patrí tok Hnilca</w:t>
      </w:r>
      <w:r>
        <w:rPr>
          <w:szCs w:val="24"/>
        </w:rPr>
        <w:t xml:space="preserve">, </w:t>
      </w:r>
      <w:r w:rsidRPr="00B019DB">
        <w:rPr>
          <w:szCs w:val="24"/>
        </w:rPr>
        <w:t>potok Bystrá a Veľká Biela voda</w:t>
      </w:r>
      <w:r>
        <w:rPr>
          <w:szCs w:val="24"/>
        </w:rPr>
        <w:t>.</w:t>
      </w:r>
      <w:r w:rsidRPr="00B019DB">
        <w:rPr>
          <w:szCs w:val="24"/>
        </w:rPr>
        <w:t xml:space="preserve"> </w:t>
      </w:r>
      <w:r>
        <w:rPr>
          <w:szCs w:val="24"/>
        </w:rPr>
        <w:t>K</w:t>
      </w:r>
      <w:r w:rsidRPr="00B019DB">
        <w:rPr>
          <w:szCs w:val="24"/>
        </w:rPr>
        <w:t xml:space="preserve"> vodárenským tokom patrí Hornád v km: 136,7 – 168,9, potok Bystrá a Veľká Biela voda</w:t>
      </w:r>
      <w:r>
        <w:rPr>
          <w:szCs w:val="24"/>
        </w:rPr>
        <w:t xml:space="preserve">. </w:t>
      </w:r>
      <w:r w:rsidRPr="00B019DB">
        <w:rPr>
          <w:szCs w:val="24"/>
        </w:rPr>
        <w:t>V nadväznosti na to sa v území nachádzajú pásma hygienickej ochrany podzemných vôd a pásma hygienickej ochrany povrchových vôd príslušných stupňov.</w:t>
      </w:r>
    </w:p>
    <w:p w14:paraId="1825E8EF" w14:textId="508EAAFC" w:rsidR="00F148C6" w:rsidRPr="00B47CF3" w:rsidRDefault="00B918D6" w:rsidP="00F148C6">
      <w:pPr>
        <w:spacing w:after="240" w:line="276" w:lineRule="auto"/>
        <w:jc w:val="both"/>
        <w:rPr>
          <w:b/>
          <w:w w:val="101"/>
        </w:rPr>
      </w:pPr>
      <w:r w:rsidRPr="0023163C">
        <w:rPr>
          <w:color w:val="C45911" w:themeColor="accent2" w:themeShade="BF"/>
        </w:rPr>
        <w:t xml:space="preserve">- </w:t>
      </w:r>
      <w:r w:rsidRPr="0023163C">
        <w:rPr>
          <w:b/>
          <w:color w:val="C45911" w:themeColor="accent2" w:themeShade="BF"/>
        </w:rPr>
        <w:t>biogeografické podmienky (flóra a fauna)</w:t>
      </w:r>
      <w:r w:rsidR="00F148C6" w:rsidRPr="0023163C">
        <w:rPr>
          <w:color w:val="C45911" w:themeColor="accent2" w:themeShade="BF"/>
        </w:rPr>
        <w:t xml:space="preserve"> </w:t>
      </w:r>
      <w:r w:rsidR="00F148C6">
        <w:t xml:space="preserve">- </w:t>
      </w:r>
      <w:r w:rsidR="00F148C6" w:rsidRPr="00B019DB">
        <w:rPr>
          <w:rFonts w:cs="MDDKIG+TimesNewRoman"/>
          <w:color w:val="000000"/>
          <w:szCs w:val="23"/>
        </w:rPr>
        <w:t xml:space="preserve">Geografická poloha, </w:t>
      </w:r>
      <w:r w:rsidR="00F148C6" w:rsidRPr="00B019DB">
        <w:rPr>
          <w:rFonts w:cs="Times New Roman"/>
          <w:color w:val="000000"/>
          <w:szCs w:val="23"/>
        </w:rPr>
        <w:t>č</w:t>
      </w:r>
      <w:r w:rsidR="00F148C6" w:rsidRPr="00B019DB">
        <w:rPr>
          <w:rFonts w:cs="MDDKIG+TimesNewRoman"/>
          <w:color w:val="000000"/>
          <w:szCs w:val="23"/>
        </w:rPr>
        <w:t>lenitos</w:t>
      </w:r>
      <w:r w:rsidR="00F148C6" w:rsidRPr="00B019DB">
        <w:rPr>
          <w:rFonts w:cs="Times New Roman"/>
          <w:color w:val="000000"/>
          <w:szCs w:val="23"/>
        </w:rPr>
        <w:t xml:space="preserve">ť </w:t>
      </w:r>
      <w:r w:rsidR="00F148C6" w:rsidRPr="00B019DB">
        <w:rPr>
          <w:rFonts w:cs="MDDKIG+TimesNewRoman"/>
          <w:color w:val="000000"/>
          <w:szCs w:val="23"/>
        </w:rPr>
        <w:t>reliéfu, pôdna diferencovanos</w:t>
      </w:r>
      <w:r w:rsidR="00F148C6" w:rsidRPr="00B019DB">
        <w:rPr>
          <w:rFonts w:cs="Times New Roman"/>
          <w:color w:val="000000"/>
          <w:szCs w:val="23"/>
        </w:rPr>
        <w:t xml:space="preserve">ť </w:t>
      </w:r>
      <w:r w:rsidR="00F148C6" w:rsidRPr="00B019DB">
        <w:rPr>
          <w:rFonts w:cs="MDDKIG+TimesNewRoman"/>
          <w:color w:val="000000"/>
          <w:szCs w:val="23"/>
        </w:rPr>
        <w:t xml:space="preserve">a špecifické mikroklimatické pomery podmienili existenciu </w:t>
      </w:r>
      <w:r w:rsidR="00F148C6" w:rsidRPr="001A3414">
        <w:rPr>
          <w:rFonts w:cs="MDDKIG+TimesNewRoman"/>
          <w:b/>
          <w:color w:val="000000"/>
          <w:szCs w:val="23"/>
        </w:rPr>
        <w:t>rozmanitej vegetácie</w:t>
      </w:r>
      <w:r w:rsidR="00F148C6" w:rsidRPr="00B019DB">
        <w:rPr>
          <w:rFonts w:cs="MDDKIG+TimesNewRoman"/>
          <w:color w:val="000000"/>
          <w:szCs w:val="23"/>
        </w:rPr>
        <w:t xml:space="preserve"> tohto územia</w:t>
      </w:r>
      <w:r w:rsidR="0023163C">
        <w:rPr>
          <w:rFonts w:cs="MDDKIG+TimesNewRoman"/>
          <w:color w:val="000000"/>
          <w:szCs w:val="23"/>
        </w:rPr>
        <w:t>, ktorá je lákadlom pre veľké množstvo návštevníkov.</w:t>
      </w:r>
      <w:r w:rsidR="00F148C6" w:rsidRPr="00B019DB">
        <w:rPr>
          <w:rFonts w:cs="MDDKIG+TimesNewRoman"/>
          <w:color w:val="000000"/>
          <w:szCs w:val="23"/>
        </w:rPr>
        <w:t xml:space="preserve"> Na relatívne malej výmere sa uplat</w:t>
      </w:r>
      <w:r w:rsidR="00F148C6" w:rsidRPr="00B019DB">
        <w:rPr>
          <w:rFonts w:cs="Times New Roman"/>
          <w:color w:val="000000"/>
          <w:szCs w:val="23"/>
        </w:rPr>
        <w:t>ň</w:t>
      </w:r>
      <w:r w:rsidR="00F148C6" w:rsidRPr="00B019DB">
        <w:rPr>
          <w:rFonts w:cs="MDDKIG+TimesNewRoman"/>
          <w:color w:val="000000"/>
          <w:szCs w:val="23"/>
        </w:rPr>
        <w:t xml:space="preserve">uje </w:t>
      </w:r>
      <w:r w:rsidR="00F148C6" w:rsidRPr="001A3414">
        <w:rPr>
          <w:rFonts w:cs="MDDKIG+TimesNewRoman"/>
          <w:b/>
          <w:color w:val="000000"/>
          <w:szCs w:val="23"/>
        </w:rPr>
        <w:t>ve</w:t>
      </w:r>
      <w:r w:rsidR="00F148C6" w:rsidRPr="001A3414">
        <w:rPr>
          <w:rFonts w:cs="Times New Roman"/>
          <w:b/>
          <w:color w:val="000000"/>
          <w:szCs w:val="23"/>
        </w:rPr>
        <w:t>ľ</w:t>
      </w:r>
      <w:r w:rsidR="00F148C6" w:rsidRPr="001A3414">
        <w:rPr>
          <w:rFonts w:cs="MDDKIG+TimesNewRoman"/>
          <w:b/>
          <w:color w:val="000000"/>
          <w:szCs w:val="23"/>
        </w:rPr>
        <w:t>ká diverzita biotopov</w:t>
      </w:r>
      <w:r w:rsidR="00F148C6" w:rsidRPr="00B019DB">
        <w:rPr>
          <w:rFonts w:cs="MDDKIG+TimesNewRoman"/>
          <w:color w:val="000000"/>
          <w:szCs w:val="23"/>
        </w:rPr>
        <w:t xml:space="preserve">. </w:t>
      </w:r>
      <w:r w:rsidR="00F148C6" w:rsidRPr="00FB1214">
        <w:rPr>
          <w:color w:val="000000"/>
        </w:rPr>
        <w:t>Pre svoju hodnotu</w:t>
      </w:r>
      <w:r w:rsidR="00F148C6">
        <w:rPr>
          <w:color w:val="000000"/>
        </w:rPr>
        <w:t xml:space="preserve"> </w:t>
      </w:r>
      <w:r w:rsidR="00F148C6" w:rsidRPr="00FB1214">
        <w:rPr>
          <w:w w:val="101"/>
        </w:rPr>
        <w:t>s </w:t>
      </w:r>
      <w:r w:rsidR="00F148C6" w:rsidRPr="00E54E07">
        <w:rPr>
          <w:bCs/>
        </w:rPr>
        <w:t xml:space="preserve">27 biotopmi európskeho významu a 8 biotopmi národného významu, </w:t>
      </w:r>
      <w:r w:rsidR="00F148C6" w:rsidRPr="00E54E07">
        <w:rPr>
          <w:color w:val="000000"/>
        </w:rPr>
        <w:t>bol Slovenský raj zaradený medzi územia európskeho významu siete NATURA 2000. Tieto územia predstavujú najcennejšie prírodné dedičstvo v Európe. Ich zaradenie do NATURA 2000 má zabezpečiť ochranu biotopov, ako aj rastlinných a živočíšnych druhov vymenovaných v európskej smernici o biotopoch, ktorá predstavuje jeden z najvýznamnejších legislatívnych rámcov v oblasti ochrany prírody v Európskej únii.</w:t>
      </w:r>
      <w:r w:rsidR="00F148C6">
        <w:rPr>
          <w:color w:val="000000"/>
        </w:rPr>
        <w:t xml:space="preserve"> </w:t>
      </w:r>
      <w:r w:rsidR="00F148C6" w:rsidRPr="00C94E6D">
        <w:rPr>
          <w:b/>
          <w:color w:val="000000"/>
        </w:rPr>
        <w:t>Územie je mimoriadne bohaté na výskyt druhov rastlín a živočíchov a biotopov</w:t>
      </w:r>
      <w:r w:rsidR="00F148C6" w:rsidRPr="00E54E07">
        <w:rPr>
          <w:color w:val="000000"/>
        </w:rPr>
        <w:t xml:space="preserve">. </w:t>
      </w:r>
      <w:r w:rsidR="00F148C6" w:rsidRPr="00E54E07">
        <w:rPr>
          <w:w w:val="101"/>
        </w:rPr>
        <w:t>Známych je viac ako 950 druhov vyšších rastlín, z toho 85 druhov je zapísaných v národnom Červenom zozname</w:t>
      </w:r>
      <w:r w:rsidR="00F148C6">
        <w:rPr>
          <w:b/>
          <w:w w:val="101"/>
        </w:rPr>
        <w:t>.</w:t>
      </w:r>
    </w:p>
    <w:p w14:paraId="680B26E9" w14:textId="5FD24CFF" w:rsidR="00B918D6" w:rsidRDefault="000C7E9D" w:rsidP="00E30BB1">
      <w:pPr>
        <w:pStyle w:val="Nadpis3"/>
        <w:numPr>
          <w:ilvl w:val="2"/>
          <w:numId w:val="1"/>
        </w:numPr>
      </w:pPr>
      <w:bookmarkStart w:id="7" w:name="_Toc509383575"/>
      <w:r>
        <w:t>Sekundárna ponuka v cestovnom ruchu v NP Slovenský raj</w:t>
      </w:r>
      <w:bookmarkEnd w:id="7"/>
    </w:p>
    <w:p w14:paraId="6A3DFF4D" w14:textId="77777777" w:rsidR="000C7E9D" w:rsidRPr="000C7E9D" w:rsidRDefault="000C7E9D" w:rsidP="000C7E9D"/>
    <w:p w14:paraId="71E7FAB7" w14:textId="5E100707" w:rsidR="003023BE" w:rsidRDefault="006A09EE" w:rsidP="003023BE">
      <w:pPr>
        <w:spacing w:line="276" w:lineRule="auto"/>
        <w:jc w:val="both"/>
      </w:pPr>
      <w:r>
        <w:t>Sekundárna ponuka v CR je prostriedkom na priblíženie a využitie primárnej ponuky. Je realizačným predpokladom územia, ktoré nie sú cieľom účasti na CR, ale bez ich realizácie by nebolo možné cestovný ruch realizovať.</w:t>
      </w:r>
      <w:r w:rsidR="0000570A">
        <w:t xml:space="preserve"> Najvýznamnejšie z nich sú </w:t>
      </w:r>
      <w:r w:rsidR="0000570A" w:rsidRPr="00B54E32">
        <w:rPr>
          <w:b/>
        </w:rPr>
        <w:t>ubytovacie, stravovacie zariadenia</w:t>
      </w:r>
      <w:r w:rsidR="00BC7827" w:rsidRPr="00EC3B10">
        <w:t xml:space="preserve">, ktoré sú tzv. supraštruktúrou </w:t>
      </w:r>
      <w:r w:rsidR="00EC3B10" w:rsidRPr="00EC3B10">
        <w:t xml:space="preserve">CR, </w:t>
      </w:r>
      <w:r w:rsidR="0000570A" w:rsidRPr="00B54E32">
        <w:rPr>
          <w:b/>
        </w:rPr>
        <w:t>či cestovné a turistické informačné kancelárie a ďalšia všeobecná infraštruktúra</w:t>
      </w:r>
      <w:r w:rsidR="00EC3B10">
        <w:t xml:space="preserve"> (miestna</w:t>
      </w:r>
      <w:r w:rsidR="00594C45">
        <w:t xml:space="preserve"> i.</w:t>
      </w:r>
      <w:r w:rsidR="00EC3B10">
        <w:t>, dopravná</w:t>
      </w:r>
      <w:r w:rsidR="00594C45">
        <w:t xml:space="preserve"> i.</w:t>
      </w:r>
      <w:r w:rsidR="00EC3B10">
        <w:t>, športovo-rekreačné zariadenia, záchranná služba, atď.).</w:t>
      </w:r>
    </w:p>
    <w:p w14:paraId="27EA87DD" w14:textId="77777777" w:rsidR="00952399" w:rsidRDefault="00952399" w:rsidP="003023BE">
      <w:pPr>
        <w:spacing w:line="276" w:lineRule="auto"/>
        <w:jc w:val="both"/>
      </w:pPr>
    </w:p>
    <w:p w14:paraId="49444DD9" w14:textId="3E009AD5" w:rsidR="003023BE" w:rsidRDefault="003023BE" w:rsidP="00E30BB1">
      <w:pPr>
        <w:pStyle w:val="Nadpis4"/>
        <w:numPr>
          <w:ilvl w:val="3"/>
          <w:numId w:val="1"/>
        </w:numPr>
      </w:pPr>
      <w:r>
        <w:lastRenderedPageBreak/>
        <w:t>Strediská cestovného ruchu NP Slovenský raj</w:t>
      </w:r>
    </w:p>
    <w:p w14:paraId="3840B0B3" w14:textId="77777777" w:rsidR="002A1F86" w:rsidRPr="002A1F86" w:rsidRDefault="002A1F86" w:rsidP="002A1F86"/>
    <w:p w14:paraId="28C828BA" w14:textId="2E64D8BD" w:rsidR="003023BE" w:rsidRPr="003023BE" w:rsidRDefault="002A1F86" w:rsidP="00952399">
      <w:pPr>
        <w:spacing w:line="276" w:lineRule="auto"/>
        <w:jc w:val="both"/>
      </w:pPr>
      <w:r>
        <w:t>V rámci severnej časti sú hlavnými strediskami CR:</w:t>
      </w:r>
    </w:p>
    <w:p w14:paraId="708F401A" w14:textId="236F9476" w:rsidR="003023BE" w:rsidRDefault="003023BE" w:rsidP="00952399">
      <w:pPr>
        <w:spacing w:line="276" w:lineRule="auto"/>
        <w:jc w:val="both"/>
      </w:pPr>
      <w:r w:rsidRPr="003023BE">
        <w:rPr>
          <w:b/>
        </w:rPr>
        <w:t>Spišská Nová Ves</w:t>
      </w:r>
      <w:r>
        <w:t xml:space="preserve"> je kultúrno-historickým centrom stredného Spiša a vo vzťahu k Národnému parku Slovenský raj možno povedať, že je jeho administratívnym centrom a vstupnou bránou do územia.</w:t>
      </w:r>
    </w:p>
    <w:p w14:paraId="0A9F3C86" w14:textId="04DEC3ED" w:rsidR="003023BE" w:rsidRDefault="003023BE" w:rsidP="00952399">
      <w:pPr>
        <w:spacing w:line="276" w:lineRule="auto"/>
        <w:jc w:val="both"/>
      </w:pPr>
      <w:r w:rsidRPr="003023BE">
        <w:rPr>
          <w:b/>
        </w:rPr>
        <w:t>Čingov (494 m n.m.)</w:t>
      </w:r>
      <w:r w:rsidRPr="003023BE">
        <w:t>,</w:t>
      </w:r>
      <w:r>
        <w:t xml:space="preserve"> je najstaršie a najväčšie stredisko cestovného ruchu v Národnom parku Slovenský raj. Nachádza sa v údolí Hornádu medzi vrchom Čingová (665 m n.m) a výbežkami Ludmanky (527 m n.m.) v severovýchodnej časti územia. Sústreďujú sa tu rôzne formy voľného cestovného ruchu, organizovanej a individuálnej rekreácie, oddychu a športových aktivít. Je východiskom náročnejších túr do centrálnej časti Slovenského raja. Nachádzajú sa tu početné ubytovacie a stravovacie zariadenia, rôznych kategórií. Prístup do strediska verejnou komunikáciou je možný zo smeru od Smižian a od obce Spišské Tomášovce.</w:t>
      </w:r>
    </w:p>
    <w:p w14:paraId="710F0CFF" w14:textId="19AC2D7B" w:rsidR="003023BE" w:rsidRDefault="003023BE" w:rsidP="00952399">
      <w:pPr>
        <w:spacing w:line="276" w:lineRule="auto"/>
        <w:jc w:val="both"/>
      </w:pPr>
      <w:r w:rsidRPr="003023BE">
        <w:rPr>
          <w:b/>
        </w:rPr>
        <w:t>Stredisko cestovného ruchu Podlesok (542m n.m.)</w:t>
      </w:r>
      <w:r>
        <w:t>, sa nachádza v severnej časti územia, na okraji NP SR, neďaleko obcí Hrabušice a Betlanovce. Dominantné postavenie v stredisku má autokemping, chatová osada a koliba. Je tu aj niekoľko väčších ubytovacích zariadení. Na rozdiel od strediska Čingov sa tu nenachádzajú malé individuálne ubytovacie zariadenia (rodinné chaty ap.). Miesto je východiskom turistických chodníkov na Kláštorisko, do okolitých roklín, do Prielomu Hornádu a do doliny Veľkej Bielej vody.</w:t>
      </w:r>
    </w:p>
    <w:p w14:paraId="7D5978C2" w14:textId="2B3E5AFB" w:rsidR="003023BE" w:rsidRDefault="003023BE" w:rsidP="00952399">
      <w:pPr>
        <w:spacing w:line="276" w:lineRule="auto"/>
        <w:jc w:val="both"/>
      </w:pPr>
      <w:r w:rsidRPr="002A1F86">
        <w:rPr>
          <w:b/>
        </w:rPr>
        <w:t>Kláštorisko (790m n.m.)</w:t>
      </w:r>
      <w:r>
        <w:t xml:space="preserve"> je popri Čingove a Podlesku ďalšie známe stredisko cestovného ruchu v severnej časti Slovenského raja. Ako jediné zo stredísk sa nachádza vo vnúrti územie NP SR. Na Kláštorisko vedie množstvo turistických chodníkov z Podlesku cez rokliny Suchá Belá, Kyseľ, Piecky, Kláštorskú roklinu, Prielom Hornádu, a z Čingova, ale dá sa naň dostať prakticky z každej časti Slovenského raja. Na Kláštorisku je vybudované turistické centrum s reštauráciou, chatami a penziónom. Nachádza sa tu aj stanica horskej služby.</w:t>
      </w:r>
      <w:r w:rsidR="002A1F86">
        <w:t xml:space="preserve"> Nachádzajú sa tu pozostatky kartuziánskeho kláštora zo 14. storočia.</w:t>
      </w:r>
    </w:p>
    <w:p w14:paraId="177FF5E3" w14:textId="3A8DAF1A" w:rsidR="002A1F86" w:rsidRDefault="002A1F86" w:rsidP="00952399">
      <w:pPr>
        <w:spacing w:line="276" w:lineRule="auto"/>
        <w:jc w:val="both"/>
      </w:pPr>
      <w:r w:rsidRPr="002A1F86">
        <w:t xml:space="preserve">V rámci </w:t>
      </w:r>
      <w:r>
        <w:t>južne</w:t>
      </w:r>
      <w:r w:rsidRPr="002A1F86">
        <w:t>j časti sú hlavnými strediskami CR:</w:t>
      </w:r>
    </w:p>
    <w:p w14:paraId="7E50AB08" w14:textId="0BAF0CFA" w:rsidR="002A1F86" w:rsidRDefault="002A1F86" w:rsidP="00952399">
      <w:pPr>
        <w:spacing w:line="276" w:lineRule="auto"/>
        <w:jc w:val="both"/>
      </w:pPr>
      <w:r w:rsidRPr="002A1F86">
        <w:rPr>
          <w:b/>
        </w:rPr>
        <w:t>Obec Dedinky (790m n.m.)</w:t>
      </w:r>
      <w:r>
        <w:t xml:space="preserve">. Obec vznikla roku 1933 spojením dvoch menších obcí - Štefanovce a Imrichovce. Dedinky ležia v údolí rieky Hnilec, nad priehradou Palcmanská Maša, ktorá patrí k najchladnejším na Slovensku. V okolí vodnej nádrže sú sústredené rekreačné zariadenia. Nad Dedinkami sa nachádza planina Geravy, na ktorú sa dalo vyviesť sedačkovou lanovkou (v </w:t>
      </w:r>
      <w:r w:rsidR="00376FC8">
        <w:t>súčasnosti</w:t>
      </w:r>
      <w:r>
        <w:t xml:space="preserve"> nefunkčná). Odtiaľ vedú turistické chodníky, po ktorých sa dá dostať takmer do každej časti Slovenského raja. Počas zimnej sezóny sa dá v okolí obce aj lyžovať, lyžiarske svahy s vlekmi sú určené skôr pre nenáročných lyžiarov. </w:t>
      </w:r>
    </w:p>
    <w:p w14:paraId="5B40D01E" w14:textId="544052BA" w:rsidR="002A1F86" w:rsidRDefault="002A1F86" w:rsidP="00952399">
      <w:pPr>
        <w:spacing w:line="276" w:lineRule="auto"/>
        <w:jc w:val="both"/>
      </w:pPr>
      <w:r w:rsidRPr="00376FC8">
        <w:rPr>
          <w:b/>
        </w:rPr>
        <w:t>Mlynky (739m n.m.)</w:t>
      </w:r>
      <w:r>
        <w:t xml:space="preserve"> sú najvýznamnejšie stredisko zimných športov v Slovenskom raji. Majú niekoľko častí s rôzne intenzívnym využívaním. V časti Mlynky - Prostredný Hámor na svahoch kopca Kruhová je významné lyžiarske stredisko nadregionálneho významu. Nachádzajú sa tu 4 lyžiarske vleky. Počet zjazdových tratí 6, najdlhšia má 770 m. V časti obce Mlynky – Biele Vody sa nachádzajú 2 vleky. Zabezpečené je mechanické zasnežovanie. V areáli bežeckého lyžovania Biele Vody sú 4 trate s celkovou dĺžkou 11,5 km. K dispozícii je lyžiarsky turisticko-rekreačný okruh okolo Kráľovej hory a bežecké trate na Bielych Vodách. Možnosť ubytovania sa je v súkromí, v penziónoch, alebo v hoteli. </w:t>
      </w:r>
      <w:r>
        <w:lastRenderedPageBreak/>
        <w:t>Mlynky sú východiskovým miestom turistických t</w:t>
      </w:r>
      <w:r w:rsidR="00376FC8">
        <w:t>r</w:t>
      </w:r>
      <w:r>
        <w:t>ás do južných častí Slovenského raja, do Havraních vrchov, do časti Knola a do Volovských vrchov.</w:t>
      </w:r>
    </w:p>
    <w:p w14:paraId="1ED8F940" w14:textId="77777777" w:rsidR="003023BE" w:rsidRPr="003023BE" w:rsidRDefault="003023BE" w:rsidP="003023BE"/>
    <w:p w14:paraId="45CC252C" w14:textId="3CA962E9" w:rsidR="007E6387" w:rsidRDefault="00EE33DE" w:rsidP="00E30BB1">
      <w:pPr>
        <w:pStyle w:val="Nadpis4"/>
        <w:numPr>
          <w:ilvl w:val="3"/>
          <w:numId w:val="1"/>
        </w:numPr>
      </w:pPr>
      <w:r>
        <w:t>Ubytovanie a stravovanie v NP Slovenský raj</w:t>
      </w:r>
    </w:p>
    <w:p w14:paraId="1103C1A9" w14:textId="77777777" w:rsidR="00EE33DE" w:rsidRPr="00EE33DE" w:rsidRDefault="00EE33DE" w:rsidP="00EE33DE"/>
    <w:p w14:paraId="7FB68726" w14:textId="4AFB6CF9" w:rsidR="00253A13" w:rsidRDefault="00FF36C8" w:rsidP="001A1F5D">
      <w:pPr>
        <w:spacing w:line="276" w:lineRule="auto"/>
        <w:jc w:val="both"/>
      </w:pPr>
      <w:r>
        <w:t>Podľa Stratégie rozvoja cestovného ruchu v regióne NP Slovenský raj (2015) je celkové zastúpenie podnikov v oblasti cestovného ruchu (tabuľka 2) veľmi nízke - iba 3,5%, a to aj napriek veľkému potenciálu územia v tomto odvetví.</w:t>
      </w:r>
    </w:p>
    <w:p w14:paraId="474A428D" w14:textId="77777777" w:rsidR="00FF36C8" w:rsidRDefault="00FF36C8" w:rsidP="00FF36C8">
      <w:pPr>
        <w:keepNext/>
        <w:spacing w:line="276" w:lineRule="auto"/>
        <w:jc w:val="both"/>
      </w:pPr>
      <w:r>
        <w:rPr>
          <w:noProof/>
          <w:lang w:val="en-GB" w:eastAsia="en-GB"/>
        </w:rPr>
        <w:drawing>
          <wp:inline distT="0" distB="0" distL="0" distR="0" wp14:anchorId="4857D9BC" wp14:editId="4F153383">
            <wp:extent cx="5048955" cy="2448267"/>
            <wp:effectExtent l="0" t="0" r="0" b="9525"/>
            <wp:docPr id="23" name="Obrázok 23" descr="Výrez obrazov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18E764.tmp"/>
                    <pic:cNvPicPr/>
                  </pic:nvPicPr>
                  <pic:blipFill>
                    <a:blip r:embed="rId20">
                      <a:extLst>
                        <a:ext uri="{28A0092B-C50C-407E-A947-70E740481C1C}">
                          <a14:useLocalDpi xmlns:a14="http://schemas.microsoft.com/office/drawing/2010/main" val="0"/>
                        </a:ext>
                      </a:extLst>
                    </a:blip>
                    <a:stretch>
                      <a:fillRect/>
                    </a:stretch>
                  </pic:blipFill>
                  <pic:spPr>
                    <a:xfrm>
                      <a:off x="0" y="0"/>
                      <a:ext cx="5048955" cy="2448267"/>
                    </a:xfrm>
                    <a:prstGeom prst="rect">
                      <a:avLst/>
                    </a:prstGeom>
                  </pic:spPr>
                </pic:pic>
              </a:graphicData>
            </a:graphic>
          </wp:inline>
        </w:drawing>
      </w:r>
    </w:p>
    <w:p w14:paraId="30E4267C" w14:textId="5428DE1A" w:rsidR="00FF36C8" w:rsidRPr="00FF36C8" w:rsidRDefault="00FF36C8" w:rsidP="00FF36C8">
      <w:pPr>
        <w:pStyle w:val="Popis"/>
        <w:jc w:val="both"/>
        <w:rPr>
          <w:b/>
          <w:i w:val="0"/>
          <w:color w:val="auto"/>
        </w:rPr>
      </w:pPr>
      <w:r w:rsidRPr="00FF36C8">
        <w:rPr>
          <w:b/>
          <w:i w:val="0"/>
          <w:color w:val="auto"/>
        </w:rPr>
        <w:t xml:space="preserve">Tabuľka </w:t>
      </w:r>
      <w:r w:rsidRPr="00FF36C8">
        <w:rPr>
          <w:b/>
          <w:i w:val="0"/>
          <w:color w:val="auto"/>
        </w:rPr>
        <w:fldChar w:fldCharType="begin"/>
      </w:r>
      <w:r w:rsidRPr="00FF36C8">
        <w:rPr>
          <w:b/>
          <w:i w:val="0"/>
          <w:color w:val="auto"/>
        </w:rPr>
        <w:instrText xml:space="preserve"> SEQ Tabuľka \* ARABIC </w:instrText>
      </w:r>
      <w:r w:rsidRPr="00FF36C8">
        <w:rPr>
          <w:b/>
          <w:i w:val="0"/>
          <w:color w:val="auto"/>
        </w:rPr>
        <w:fldChar w:fldCharType="separate"/>
      </w:r>
      <w:r w:rsidRPr="00FF36C8">
        <w:rPr>
          <w:b/>
          <w:i w:val="0"/>
          <w:noProof/>
          <w:color w:val="auto"/>
        </w:rPr>
        <w:t>2</w:t>
      </w:r>
      <w:r w:rsidRPr="00FF36C8">
        <w:rPr>
          <w:b/>
          <w:i w:val="0"/>
          <w:color w:val="auto"/>
        </w:rPr>
        <w:fldChar w:fldCharType="end"/>
      </w:r>
      <w:r w:rsidRPr="00FF36C8">
        <w:rPr>
          <w:b/>
          <w:i w:val="0"/>
          <w:color w:val="auto"/>
        </w:rPr>
        <w:t>. Podniky podľa ekonomickej činnosti v záujmovej oblasti. Zdroj: Stratégia rozvoja CR v regióne NP Slovenský raj</w:t>
      </w:r>
      <w:r>
        <w:rPr>
          <w:b/>
          <w:i w:val="0"/>
          <w:color w:val="auto"/>
        </w:rPr>
        <w:t xml:space="preserve">, </w:t>
      </w:r>
    </w:p>
    <w:p w14:paraId="12AD7E9F" w14:textId="24DF661E" w:rsidR="00AD770F" w:rsidRDefault="00C476DD" w:rsidP="001A1F5D">
      <w:pPr>
        <w:spacing w:line="276" w:lineRule="auto"/>
        <w:jc w:val="both"/>
      </w:pPr>
      <w:r>
        <w:t xml:space="preserve">Ekonomicky aktívne obyvateľstvo (EAO) na riedko osídlenom vidieku sa venuje predovšetkým priemyselnej výrobe (15,6%), poľnohospodárstvu a lesnému hospodárstvu (14,9%), službám a obchodu (8,1%), </w:t>
      </w:r>
      <w:r w:rsidRPr="00C476DD">
        <w:rPr>
          <w:b/>
        </w:rPr>
        <w:t>hotelom a reštauráciám (7,8%)</w:t>
      </w:r>
      <w:r>
        <w:t xml:space="preserve"> a verejnej správe (7,0 %). Pomerne významná je aj zamestnanosť v školstve, v doprave, v zdravotníctve a sociálnej starostlivosti. Podobná štruktúra zamestnanosti existuje aj v hustejšie obývanom území okresného mesta.</w:t>
      </w:r>
    </w:p>
    <w:p w14:paraId="2C40AEDB" w14:textId="7CCFD97C" w:rsidR="00C94E6D" w:rsidRPr="00AD770F" w:rsidRDefault="00973660" w:rsidP="00AD770F">
      <w:pPr>
        <w:pStyle w:val="Nadpis4"/>
        <w:spacing w:line="276" w:lineRule="auto"/>
        <w:jc w:val="both"/>
        <w:rPr>
          <w:b/>
          <w:color w:val="auto"/>
        </w:rPr>
      </w:pPr>
      <w:r w:rsidRPr="00AD770F">
        <w:rPr>
          <w:b/>
          <w:color w:val="auto"/>
        </w:rPr>
        <w:t>Počet</w:t>
      </w:r>
      <w:r w:rsidR="00EB3EFD" w:rsidRPr="00AD770F">
        <w:rPr>
          <w:b/>
          <w:color w:val="auto"/>
        </w:rPr>
        <w:t xml:space="preserve"> ubytovaných návštevníkov</w:t>
      </w:r>
    </w:p>
    <w:p w14:paraId="06337883" w14:textId="562C8099" w:rsidR="00913C34" w:rsidRDefault="00913C34" w:rsidP="00AD770F">
      <w:pPr>
        <w:spacing w:line="276" w:lineRule="auto"/>
        <w:jc w:val="both"/>
        <w:rPr>
          <w:rFonts w:cstheme="minorHAnsi"/>
        </w:rPr>
      </w:pPr>
      <w:r w:rsidRPr="00913C34">
        <w:rPr>
          <w:rFonts w:cstheme="minorHAnsi"/>
        </w:rPr>
        <w:t xml:space="preserve">Ubytovacie zariadenia poskytujú prechodné ubytovanie, zvyčajne spojené so stravovaním, spoločenskými službami, službami voľného času (animačné), základnými službami, prípadne ďalšími službami napr. starostlivosť o bezpečnosť, obchodné služby. </w:t>
      </w:r>
      <w:r>
        <w:rPr>
          <w:rFonts w:cstheme="minorHAnsi"/>
        </w:rPr>
        <w:t>Vzhľadom na k</w:t>
      </w:r>
      <w:r w:rsidRPr="00913C34">
        <w:rPr>
          <w:rFonts w:cstheme="minorHAnsi"/>
        </w:rPr>
        <w:t>ategorizáciu ubyt</w:t>
      </w:r>
      <w:r>
        <w:rPr>
          <w:rFonts w:cstheme="minorHAnsi"/>
        </w:rPr>
        <w:t>ovacích</w:t>
      </w:r>
      <w:r w:rsidRPr="00913C34">
        <w:rPr>
          <w:rFonts w:cstheme="minorHAnsi"/>
        </w:rPr>
        <w:t xml:space="preserve"> zariadení a ich zaraďovanie do príslušných tried</w:t>
      </w:r>
      <w:r>
        <w:rPr>
          <w:rFonts w:cstheme="minorHAnsi"/>
        </w:rPr>
        <w:t xml:space="preserve">, ktorú </w:t>
      </w:r>
      <w:r w:rsidRPr="00913C34">
        <w:rPr>
          <w:rFonts w:cstheme="minorHAnsi"/>
        </w:rPr>
        <w:t>upravuje Vyhláška MH SR č. 419/2001 Z. z.</w:t>
      </w:r>
      <w:r>
        <w:rPr>
          <w:rFonts w:cstheme="minorHAnsi"/>
        </w:rPr>
        <w:t>,</w:t>
      </w:r>
      <w:r w:rsidR="00825DCF">
        <w:rPr>
          <w:rFonts w:cstheme="minorHAnsi"/>
        </w:rPr>
        <w:t xml:space="preserve"> </w:t>
      </w:r>
      <w:r>
        <w:rPr>
          <w:rFonts w:cstheme="minorHAnsi"/>
        </w:rPr>
        <w:t xml:space="preserve">v záujmovej oblasti </w:t>
      </w:r>
      <w:r w:rsidR="00CD59FE">
        <w:rPr>
          <w:rFonts w:cstheme="minorHAnsi"/>
        </w:rPr>
        <w:t>prevládajú</w:t>
      </w:r>
      <w:r>
        <w:rPr>
          <w:rFonts w:cstheme="minorHAnsi"/>
        </w:rPr>
        <w:t xml:space="preserve"> najmä</w:t>
      </w:r>
      <w:r w:rsidR="00CD59FE">
        <w:rPr>
          <w:rFonts w:cstheme="minorHAnsi"/>
        </w:rPr>
        <w:t xml:space="preserve"> penzióny, kemping, ubytovania v</w:t>
      </w:r>
      <w:r w:rsidR="00825DCF">
        <w:rPr>
          <w:rFonts w:cstheme="minorHAnsi"/>
        </w:rPr>
        <w:t> </w:t>
      </w:r>
      <w:r w:rsidR="00CD59FE">
        <w:rPr>
          <w:rFonts w:cstheme="minorHAnsi"/>
        </w:rPr>
        <w:t>súkromí</w:t>
      </w:r>
      <w:r w:rsidR="00825DCF">
        <w:rPr>
          <w:rFonts w:cstheme="minorHAnsi"/>
        </w:rPr>
        <w:t xml:space="preserve"> </w:t>
      </w:r>
      <w:r w:rsidR="008B2466">
        <w:rPr>
          <w:rFonts w:cstheme="minorHAnsi"/>
        </w:rPr>
        <w:t xml:space="preserve">(vrátane </w:t>
      </w:r>
      <w:r w:rsidR="00CD59FE">
        <w:rPr>
          <w:rFonts w:cstheme="minorHAnsi"/>
        </w:rPr>
        <w:t>ch</w:t>
      </w:r>
      <w:r w:rsidR="008B2466">
        <w:rPr>
          <w:rFonts w:cstheme="minorHAnsi"/>
        </w:rPr>
        <w:t>át)</w:t>
      </w:r>
      <w:r w:rsidR="00CD59FE">
        <w:rPr>
          <w:rFonts w:cstheme="minorHAnsi"/>
        </w:rPr>
        <w:t>.</w:t>
      </w:r>
    </w:p>
    <w:p w14:paraId="044E4B3F" w14:textId="77777777" w:rsidR="00F44763" w:rsidRDefault="00F44763" w:rsidP="00913C34">
      <w:pPr>
        <w:spacing w:line="276" w:lineRule="auto"/>
        <w:jc w:val="both"/>
        <w:rPr>
          <w:rFonts w:cstheme="minorHAnsi"/>
        </w:rPr>
      </w:pPr>
    </w:p>
    <w:p w14:paraId="3AA0B9A3" w14:textId="49AF1693" w:rsidR="00076161" w:rsidRDefault="007F5157" w:rsidP="00076161">
      <w:pPr>
        <w:keepNext/>
        <w:spacing w:line="276" w:lineRule="auto"/>
        <w:jc w:val="both"/>
      </w:pPr>
      <w:r>
        <w:rPr>
          <w:noProof/>
        </w:rPr>
        <w:lastRenderedPageBreak/>
        <w:drawing>
          <wp:inline distT="0" distB="0" distL="0" distR="0" wp14:anchorId="5D01D593" wp14:editId="7CB38FED">
            <wp:extent cx="5791200" cy="3124200"/>
            <wp:effectExtent l="0" t="0" r="0" b="0"/>
            <wp:docPr id="26" name="Graf 26">
              <a:extLst xmlns:a="http://schemas.openxmlformats.org/drawingml/2006/main">
                <a:ext uri="{FF2B5EF4-FFF2-40B4-BE49-F238E27FC236}">
                  <a16:creationId xmlns:a16="http://schemas.microsoft.com/office/drawing/2014/main" id="{DFFCF9C6-279C-4F6C-869E-F6189A751F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337F37B" w14:textId="2D62F454" w:rsidR="00076161" w:rsidRPr="00076161" w:rsidRDefault="00076161" w:rsidP="00076161">
      <w:pPr>
        <w:pStyle w:val="Popis"/>
        <w:jc w:val="both"/>
      </w:pPr>
      <w:r w:rsidRPr="00076161">
        <w:rPr>
          <w:b/>
          <w:i w:val="0"/>
          <w:color w:val="auto"/>
        </w:rPr>
        <w:t xml:space="preserve">Graf </w:t>
      </w:r>
      <w:r w:rsidRPr="00076161">
        <w:rPr>
          <w:b/>
          <w:i w:val="0"/>
          <w:color w:val="auto"/>
        </w:rPr>
        <w:fldChar w:fldCharType="begin"/>
      </w:r>
      <w:r w:rsidRPr="00076161">
        <w:rPr>
          <w:b/>
          <w:i w:val="0"/>
          <w:color w:val="auto"/>
        </w:rPr>
        <w:instrText xml:space="preserve"> SEQ Graf \* ARABIC </w:instrText>
      </w:r>
      <w:r w:rsidRPr="00076161">
        <w:rPr>
          <w:b/>
          <w:i w:val="0"/>
          <w:color w:val="auto"/>
        </w:rPr>
        <w:fldChar w:fldCharType="separate"/>
      </w:r>
      <w:r w:rsidRPr="00076161">
        <w:rPr>
          <w:b/>
          <w:i w:val="0"/>
          <w:noProof/>
          <w:color w:val="auto"/>
        </w:rPr>
        <w:t>2</w:t>
      </w:r>
      <w:r w:rsidRPr="00076161">
        <w:rPr>
          <w:b/>
          <w:i w:val="0"/>
          <w:color w:val="auto"/>
        </w:rPr>
        <w:fldChar w:fldCharType="end"/>
      </w:r>
      <w:r w:rsidRPr="00076161">
        <w:rPr>
          <w:b/>
          <w:i w:val="0"/>
          <w:color w:val="auto"/>
        </w:rPr>
        <w:t>. Počet prenocovaní návštevníkov v ubytovacích zariadeniach CR v obciach Slovenského raja v rokoch 2013-2017 (s označením počtu pre rok 2017).  Zdroj: OOCR Raj &amp; Spiš, 2018</w:t>
      </w:r>
      <w:r w:rsidRPr="00831C77">
        <w:t>.</w:t>
      </w:r>
    </w:p>
    <w:p w14:paraId="16573ACC" w14:textId="421B7630" w:rsidR="009D4420" w:rsidRDefault="008228BB" w:rsidP="004920E4">
      <w:pPr>
        <w:jc w:val="both"/>
      </w:pPr>
      <w:r>
        <w:t xml:space="preserve">Podľa získaných </w:t>
      </w:r>
      <w:r w:rsidR="00D67CCE">
        <w:t>dát, najvyšší počet prenocovaní návštevníkov v ubytovacích zariadeniach CR</w:t>
      </w:r>
      <w:r w:rsidR="00076161">
        <w:t xml:space="preserve"> (Graf</w:t>
      </w:r>
      <w:r w:rsidR="00251326">
        <w:t xml:space="preserve"> 2)</w:t>
      </w:r>
      <w:r w:rsidR="00076161">
        <w:t xml:space="preserve"> </w:t>
      </w:r>
      <w:r w:rsidR="00D67CCE">
        <w:t xml:space="preserve"> je v Spišskej Novej Vsi, Hrabušiciach a Smižanoch, čo sú sídla v severnej časti NP Slovenského raja</w:t>
      </w:r>
      <w:r w:rsidR="004920E4">
        <w:t>. Z obcí v južnej časti NP Slovenský raj bolo v roku 2017 najviac prenocovaní v obci Telgárt a Dedinky.</w:t>
      </w:r>
      <w:r w:rsidR="00076161">
        <w:t xml:space="preserve"> Podľa podrobnejších </w:t>
      </w:r>
      <w:r w:rsidR="00E874DF">
        <w:t xml:space="preserve">(kvartálnych) </w:t>
      </w:r>
      <w:r w:rsidR="00251326">
        <w:t>dát, najv</w:t>
      </w:r>
      <w:r w:rsidR="005356D1">
        <w:t>yšší príspevok počtu</w:t>
      </w:r>
      <w:r w:rsidR="00251326">
        <w:t xml:space="preserve"> prenocovaní v</w:t>
      </w:r>
      <w:r w:rsidR="005356D1">
        <w:t> menovaných obciach (</w:t>
      </w:r>
      <w:r w:rsidR="00251326">
        <w:t>obciach s najväčším počtom prenocovaní</w:t>
      </w:r>
      <w:r w:rsidR="005356D1">
        <w:t>)</w:t>
      </w:r>
      <w:r w:rsidR="00251326">
        <w:t xml:space="preserve"> je v</w:t>
      </w:r>
      <w:r w:rsidR="00604730">
        <w:t xml:space="preserve"> rámci </w:t>
      </w:r>
      <w:r w:rsidR="00251326">
        <w:t>tre</w:t>
      </w:r>
      <w:r w:rsidR="00604730">
        <w:t>tieho</w:t>
      </w:r>
      <w:r w:rsidR="00251326">
        <w:t xml:space="preserve"> kvartál</w:t>
      </w:r>
      <w:r w:rsidR="00604730">
        <w:t>u</w:t>
      </w:r>
      <w:r w:rsidR="00251326">
        <w:t xml:space="preserve"> (júl, august, september).</w:t>
      </w:r>
    </w:p>
    <w:p w14:paraId="3291E6E1" w14:textId="77777777" w:rsidR="00FF5D87" w:rsidRDefault="00FF5D87" w:rsidP="004920E4">
      <w:pPr>
        <w:jc w:val="both"/>
      </w:pPr>
    </w:p>
    <w:p w14:paraId="3FD26430" w14:textId="0FDC7C75" w:rsidR="0070719F" w:rsidRDefault="00F840BE" w:rsidP="00E30BB1">
      <w:pPr>
        <w:pStyle w:val="Nadpis4"/>
        <w:numPr>
          <w:ilvl w:val="3"/>
          <w:numId w:val="1"/>
        </w:numPr>
      </w:pPr>
      <w:r w:rsidRPr="00FF5D87">
        <w:t>Ďalšie</w:t>
      </w:r>
      <w:r>
        <w:t xml:space="preserve"> socio</w:t>
      </w:r>
      <w:r w:rsidR="005C1A6B">
        <w:t xml:space="preserve"> </w:t>
      </w:r>
      <w:r>
        <w:t>-</w:t>
      </w:r>
      <w:r w:rsidR="005C1A6B">
        <w:t xml:space="preserve"> </w:t>
      </w:r>
      <w:r>
        <w:t>demografické  predpoklady sekundárnej ponuky CR v NP Slovenský raj</w:t>
      </w:r>
    </w:p>
    <w:p w14:paraId="552F2618" w14:textId="77777777" w:rsidR="00FF5D87" w:rsidRPr="00FF5D87" w:rsidRDefault="00FF5D87" w:rsidP="00FF5D87"/>
    <w:p w14:paraId="76458233" w14:textId="189F449C" w:rsidR="00A25E53" w:rsidRDefault="00B54E32" w:rsidP="001A1F5D">
      <w:pPr>
        <w:spacing w:line="276" w:lineRule="auto"/>
        <w:jc w:val="both"/>
      </w:pPr>
      <w:r>
        <w:t>Udržateľný rozvoj ubytovacích, stravovacích a ďalších podporných turistických zariadení a</w:t>
      </w:r>
      <w:r w:rsidR="00BA7A69">
        <w:t> </w:t>
      </w:r>
      <w:r>
        <w:t>služieb</w:t>
      </w:r>
      <w:r w:rsidR="00BA7A69">
        <w:t xml:space="preserve"> v</w:t>
      </w:r>
      <w:r w:rsidR="006700EB">
        <w:t> </w:t>
      </w:r>
      <w:r w:rsidR="00BA7A69">
        <w:t>CR</w:t>
      </w:r>
      <w:r w:rsidR="006700EB">
        <w:t xml:space="preserve"> na lokálnej úrovni</w:t>
      </w:r>
      <w:r>
        <w:t xml:space="preserve"> </w:t>
      </w:r>
      <w:r w:rsidR="009441E3">
        <w:t>môže súvisieť</w:t>
      </w:r>
      <w:r w:rsidR="006700EB">
        <w:t xml:space="preserve"> </w:t>
      </w:r>
      <w:r w:rsidR="00AD320F">
        <w:t>s</w:t>
      </w:r>
      <w:r w:rsidR="006700EB">
        <w:t xml:space="preserve"> </w:t>
      </w:r>
      <w:r>
        <w:t>množstv</w:t>
      </w:r>
      <w:r w:rsidR="009441E3">
        <w:t>om</w:t>
      </w:r>
      <w:r w:rsidR="006700EB">
        <w:t xml:space="preserve"> </w:t>
      </w:r>
      <w:r>
        <w:t xml:space="preserve">socio – ekonomických a socio – demografických </w:t>
      </w:r>
      <w:r w:rsidR="009441E3">
        <w:t>podmienok</w:t>
      </w:r>
      <w:r w:rsidR="00FB10E3">
        <w:t xml:space="preserve"> </w:t>
      </w:r>
      <w:r w:rsidR="006700EB">
        <w:t>a</w:t>
      </w:r>
      <w:r w:rsidR="00FB10E3">
        <w:t xml:space="preserve"> na </w:t>
      </w:r>
      <w:r w:rsidR="006700EB">
        <w:t xml:space="preserve">ich vzájomných </w:t>
      </w:r>
      <w:r w:rsidR="009441E3">
        <w:t>prepojeniach</w:t>
      </w:r>
      <w:r>
        <w:t>.</w:t>
      </w:r>
      <w:r w:rsidR="00BA7A69">
        <w:t xml:space="preserve"> Za účelom rozpoznania </w:t>
      </w:r>
      <w:r w:rsidR="00FB10E3">
        <w:t xml:space="preserve">možných </w:t>
      </w:r>
      <w:r w:rsidR="00BA7A69">
        <w:t xml:space="preserve">spojitostí medzi rozvojom CR </w:t>
      </w:r>
      <w:r w:rsidR="00E06225">
        <w:t>(</w:t>
      </w:r>
      <w:r w:rsidR="00BA7A69">
        <w:t>a teda aj zamestnanosťou</w:t>
      </w:r>
      <w:r w:rsidR="00E06225">
        <w:t>) a  dopadmi zmeny klímy</w:t>
      </w:r>
      <w:r w:rsidR="00BA7A69">
        <w:t xml:space="preserve"> v riešenom území</w:t>
      </w:r>
      <w:r w:rsidR="00FB10E3">
        <w:t>,</w:t>
      </w:r>
      <w:r w:rsidR="00BA7A69">
        <w:t xml:space="preserve"> </w:t>
      </w:r>
      <w:r w:rsidR="00E06225">
        <w:t>bolo potrebné analyzovať niektoré vybrané dáta.</w:t>
      </w:r>
      <w:r w:rsidR="00BA7A69">
        <w:t xml:space="preserve">  </w:t>
      </w:r>
    </w:p>
    <w:p w14:paraId="0D73698A" w14:textId="1FA489C2" w:rsidR="006B5C79" w:rsidRDefault="006B5C79" w:rsidP="001A1F5D">
      <w:pPr>
        <w:spacing w:line="276" w:lineRule="auto"/>
        <w:jc w:val="both"/>
      </w:pPr>
    </w:p>
    <w:p w14:paraId="3754C8C4" w14:textId="77777777" w:rsidR="006B5C79" w:rsidRDefault="006B5C79" w:rsidP="006B5C79">
      <w:pPr>
        <w:keepNext/>
        <w:spacing w:line="276" w:lineRule="auto"/>
        <w:rPr>
          <w:b/>
          <w:i/>
          <w:sz w:val="18"/>
          <w:szCs w:val="18"/>
        </w:rPr>
      </w:pPr>
      <w:r>
        <w:rPr>
          <w:noProof/>
          <w:lang w:val="en-GB" w:eastAsia="en-GB"/>
        </w:rPr>
        <w:lastRenderedPageBreak/>
        <w:drawing>
          <wp:inline distT="0" distB="0" distL="0" distR="0" wp14:anchorId="0CB0F275" wp14:editId="1E9D095A">
            <wp:extent cx="3886200" cy="2600325"/>
            <wp:effectExtent l="0" t="0" r="0" b="9525"/>
            <wp:docPr id="4" name="Graf 4">
              <a:extLst xmlns:a="http://schemas.openxmlformats.org/drawingml/2006/main">
                <a:ext uri="{FF2B5EF4-FFF2-40B4-BE49-F238E27FC236}">
                  <a16:creationId xmlns:a16="http://schemas.microsoft.com/office/drawing/2014/main" id="{C3936988-1E80-46D3-96C5-7E42633672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AA6E52A" w14:textId="5CAB4D1C" w:rsidR="006B5C79" w:rsidRPr="0072608D" w:rsidRDefault="006B5C79" w:rsidP="006B5C79">
      <w:pPr>
        <w:keepNext/>
        <w:spacing w:line="276" w:lineRule="auto"/>
        <w:rPr>
          <w:b/>
          <w:sz w:val="18"/>
          <w:szCs w:val="18"/>
        </w:rPr>
      </w:pPr>
      <w:r w:rsidRPr="0072608D">
        <w:rPr>
          <w:b/>
          <w:sz w:val="18"/>
          <w:szCs w:val="18"/>
        </w:rPr>
        <w:t xml:space="preserve">Graf </w:t>
      </w:r>
      <w:r w:rsidRPr="0072608D">
        <w:rPr>
          <w:b/>
          <w:sz w:val="18"/>
          <w:szCs w:val="18"/>
        </w:rPr>
        <w:fldChar w:fldCharType="begin"/>
      </w:r>
      <w:r w:rsidRPr="0072608D">
        <w:rPr>
          <w:b/>
          <w:sz w:val="18"/>
          <w:szCs w:val="18"/>
        </w:rPr>
        <w:instrText xml:space="preserve"> SEQ Graf \* ARABIC </w:instrText>
      </w:r>
      <w:r w:rsidRPr="0072608D">
        <w:rPr>
          <w:b/>
          <w:sz w:val="18"/>
          <w:szCs w:val="18"/>
        </w:rPr>
        <w:fldChar w:fldCharType="separate"/>
      </w:r>
      <w:r w:rsidR="00076161">
        <w:rPr>
          <w:b/>
          <w:noProof/>
          <w:sz w:val="18"/>
          <w:szCs w:val="18"/>
        </w:rPr>
        <w:t>3</w:t>
      </w:r>
      <w:r w:rsidRPr="0072608D">
        <w:rPr>
          <w:b/>
          <w:sz w:val="18"/>
          <w:szCs w:val="18"/>
        </w:rPr>
        <w:fldChar w:fldCharType="end"/>
      </w:r>
      <w:r w:rsidRPr="0072608D">
        <w:rPr>
          <w:b/>
          <w:sz w:val="18"/>
          <w:szCs w:val="18"/>
        </w:rPr>
        <w:t>. Vývoj počtu obyvateľov za posledných 8 rokov v jednotlivých častiach Slovenského raja. Zdroj: vlastné spracovanie KRI, Košice, ŠÚ SR 2018.</w:t>
      </w:r>
    </w:p>
    <w:p w14:paraId="7FB24D8D" w14:textId="77777777" w:rsidR="006B5C79" w:rsidRPr="00DD3090" w:rsidRDefault="006B5C79" w:rsidP="006B5C79">
      <w:pPr>
        <w:spacing w:after="0" w:line="276" w:lineRule="auto"/>
        <w:jc w:val="both"/>
        <w:rPr>
          <w:rFonts w:cstheme="minorHAnsi"/>
          <w:szCs w:val="24"/>
        </w:rPr>
      </w:pPr>
    </w:p>
    <w:p w14:paraId="60B673F7" w14:textId="3117DFAD" w:rsidR="006B5C79" w:rsidRPr="005C1A6B" w:rsidRDefault="00CA2DE0" w:rsidP="006B5C79">
      <w:pPr>
        <w:spacing w:line="276" w:lineRule="auto"/>
        <w:jc w:val="both"/>
        <w:rPr>
          <w:szCs w:val="18"/>
        </w:rPr>
      </w:pPr>
      <w:r>
        <w:rPr>
          <w:szCs w:val="18"/>
        </w:rPr>
        <w:t xml:space="preserve">Analýza vývoja počtu obyvateľov </w:t>
      </w:r>
      <w:r w:rsidR="00FB1ED5">
        <w:rPr>
          <w:szCs w:val="18"/>
        </w:rPr>
        <w:t xml:space="preserve">je jedným z indikátorov potenciálneho rozvoja územia. </w:t>
      </w:r>
      <w:r w:rsidR="006B5C79">
        <w:rPr>
          <w:szCs w:val="18"/>
        </w:rPr>
        <w:t>Z grafu (</w:t>
      </w:r>
      <w:r w:rsidR="006B5C79">
        <w:rPr>
          <w:szCs w:val="18"/>
        </w:rPr>
        <w:fldChar w:fldCharType="begin"/>
      </w:r>
      <w:r w:rsidR="006B5C79">
        <w:rPr>
          <w:szCs w:val="18"/>
        </w:rPr>
        <w:instrText xml:space="preserve"> REF _Ref397004778 \h  \* MERGEFORMAT </w:instrText>
      </w:r>
      <w:r w:rsidR="006B5C79">
        <w:rPr>
          <w:szCs w:val="18"/>
        </w:rPr>
      </w:r>
      <w:r w:rsidR="006B5C79">
        <w:rPr>
          <w:szCs w:val="18"/>
        </w:rPr>
        <w:fldChar w:fldCharType="separate"/>
      </w:r>
      <w:r w:rsidR="006B5C79" w:rsidRPr="00E725F3">
        <w:t xml:space="preserve">Graf </w:t>
      </w:r>
      <w:r w:rsidR="006B5C79">
        <w:rPr>
          <w:noProof/>
        </w:rPr>
        <w:t>2</w:t>
      </w:r>
      <w:r w:rsidR="006B5C79">
        <w:rPr>
          <w:szCs w:val="18"/>
        </w:rPr>
        <w:fldChar w:fldCharType="end"/>
      </w:r>
      <w:r w:rsidR="006B5C79">
        <w:rPr>
          <w:szCs w:val="18"/>
        </w:rPr>
        <w:t xml:space="preserve">) </w:t>
      </w:r>
      <w:r w:rsidR="006B5C79" w:rsidRPr="00934574">
        <w:rPr>
          <w:szCs w:val="18"/>
        </w:rPr>
        <w:t xml:space="preserve">vyplýva, že počet </w:t>
      </w:r>
      <w:r w:rsidR="006B5C79" w:rsidRPr="00496DE0">
        <w:rPr>
          <w:szCs w:val="18"/>
        </w:rPr>
        <w:t>obyvateľov v južnej časti</w:t>
      </w:r>
      <w:r w:rsidR="006B5C79" w:rsidRPr="00934574">
        <w:rPr>
          <w:szCs w:val="18"/>
        </w:rPr>
        <w:t xml:space="preserve"> územia Slovenského raja má </w:t>
      </w:r>
      <w:r w:rsidR="006B5C79">
        <w:rPr>
          <w:szCs w:val="18"/>
        </w:rPr>
        <w:t>klesajúcu</w:t>
      </w:r>
      <w:r w:rsidR="006B5C79" w:rsidRPr="00934574">
        <w:rPr>
          <w:szCs w:val="18"/>
        </w:rPr>
        <w:t xml:space="preserve"> </w:t>
      </w:r>
      <w:r w:rsidR="006B5C79">
        <w:rPr>
          <w:szCs w:val="18"/>
        </w:rPr>
        <w:t>tendenciu</w:t>
      </w:r>
      <w:r w:rsidR="006B5C79" w:rsidRPr="00934574">
        <w:rPr>
          <w:szCs w:val="18"/>
        </w:rPr>
        <w:t>. Od roku 2008 do roku 201</w:t>
      </w:r>
      <w:r w:rsidR="006B5C79">
        <w:rPr>
          <w:szCs w:val="18"/>
        </w:rPr>
        <w:t>6</w:t>
      </w:r>
      <w:r w:rsidR="006B5C79" w:rsidRPr="00934574">
        <w:rPr>
          <w:szCs w:val="18"/>
        </w:rPr>
        <w:t xml:space="preserve"> </w:t>
      </w:r>
      <w:r w:rsidR="006B5C79">
        <w:rPr>
          <w:szCs w:val="18"/>
        </w:rPr>
        <w:t>klesol</w:t>
      </w:r>
      <w:r w:rsidR="006B5C79" w:rsidRPr="00934574">
        <w:rPr>
          <w:szCs w:val="18"/>
        </w:rPr>
        <w:t xml:space="preserve"> počet obyvateľov o</w:t>
      </w:r>
      <w:r w:rsidR="006B5C79">
        <w:rPr>
          <w:szCs w:val="18"/>
        </w:rPr>
        <w:t> </w:t>
      </w:r>
      <w:r w:rsidR="006B5C79">
        <w:rPr>
          <w:b/>
          <w:i/>
          <w:szCs w:val="18"/>
        </w:rPr>
        <w:t>506</w:t>
      </w:r>
      <w:r w:rsidR="006B5C79" w:rsidRPr="00934574">
        <w:rPr>
          <w:szCs w:val="18"/>
        </w:rPr>
        <w:t xml:space="preserve"> (</w:t>
      </w:r>
      <w:r w:rsidR="006B5C79" w:rsidRPr="00934574">
        <w:rPr>
          <w:b/>
          <w:i/>
          <w:szCs w:val="18"/>
        </w:rPr>
        <w:t>5,</w:t>
      </w:r>
      <w:r w:rsidR="006B5C79">
        <w:rPr>
          <w:b/>
          <w:i/>
          <w:szCs w:val="18"/>
        </w:rPr>
        <w:t>7</w:t>
      </w:r>
      <w:r w:rsidR="006B5C79" w:rsidRPr="00934574">
        <w:rPr>
          <w:b/>
          <w:i/>
          <w:szCs w:val="18"/>
        </w:rPr>
        <w:t>%</w:t>
      </w:r>
      <w:r w:rsidR="006B5C79" w:rsidRPr="00934574">
        <w:rPr>
          <w:szCs w:val="18"/>
        </w:rPr>
        <w:t xml:space="preserve"> z celkového počtu obyvateľov v obciach </w:t>
      </w:r>
      <w:r w:rsidR="006B5C79">
        <w:rPr>
          <w:szCs w:val="18"/>
        </w:rPr>
        <w:t>južnej</w:t>
      </w:r>
      <w:r w:rsidR="006B5C79" w:rsidRPr="00934574">
        <w:rPr>
          <w:szCs w:val="18"/>
        </w:rPr>
        <w:t xml:space="preserve"> časti Slovenského raja).</w:t>
      </w:r>
      <w:r w:rsidR="006B5C79">
        <w:rPr>
          <w:szCs w:val="18"/>
        </w:rPr>
        <w:t xml:space="preserve"> Naopak, v severnej časti je jav opačný.</w:t>
      </w:r>
      <w:r w:rsidR="006B5C79" w:rsidRPr="00934574">
        <w:rPr>
          <w:szCs w:val="18"/>
        </w:rPr>
        <w:t xml:space="preserve"> Od roku 2008 do roku 201</w:t>
      </w:r>
      <w:r w:rsidR="006B5C79">
        <w:rPr>
          <w:szCs w:val="18"/>
        </w:rPr>
        <w:t>6</w:t>
      </w:r>
      <w:r w:rsidR="006B5C79" w:rsidRPr="00934574">
        <w:rPr>
          <w:szCs w:val="18"/>
        </w:rPr>
        <w:t xml:space="preserve"> </w:t>
      </w:r>
      <w:r w:rsidR="006B5C79">
        <w:rPr>
          <w:szCs w:val="18"/>
        </w:rPr>
        <w:t>stúpol</w:t>
      </w:r>
      <w:r w:rsidR="006B5C79" w:rsidRPr="00934574">
        <w:rPr>
          <w:szCs w:val="18"/>
        </w:rPr>
        <w:t xml:space="preserve"> počet obyvateľov o</w:t>
      </w:r>
      <w:r w:rsidR="006B5C79">
        <w:rPr>
          <w:szCs w:val="18"/>
        </w:rPr>
        <w:t> </w:t>
      </w:r>
      <w:r w:rsidR="006B5C79">
        <w:rPr>
          <w:b/>
          <w:i/>
          <w:szCs w:val="18"/>
        </w:rPr>
        <w:t>2349</w:t>
      </w:r>
      <w:r w:rsidR="006B5C79" w:rsidRPr="00934574">
        <w:rPr>
          <w:szCs w:val="18"/>
        </w:rPr>
        <w:t xml:space="preserve"> (</w:t>
      </w:r>
      <w:r w:rsidR="006B5C79">
        <w:rPr>
          <w:b/>
          <w:i/>
          <w:szCs w:val="18"/>
        </w:rPr>
        <w:t>8,8</w:t>
      </w:r>
      <w:r w:rsidR="006B5C79" w:rsidRPr="00934574">
        <w:rPr>
          <w:b/>
          <w:i/>
          <w:szCs w:val="18"/>
        </w:rPr>
        <w:t>%</w:t>
      </w:r>
      <w:r w:rsidR="006B5C79" w:rsidRPr="00934574">
        <w:rPr>
          <w:szCs w:val="18"/>
        </w:rPr>
        <w:t xml:space="preserve"> z celkového počtu obyvateľov v obciach </w:t>
      </w:r>
      <w:r w:rsidR="006B5C79">
        <w:rPr>
          <w:szCs w:val="18"/>
        </w:rPr>
        <w:t>severnej</w:t>
      </w:r>
      <w:r w:rsidR="006B5C79" w:rsidRPr="00934574">
        <w:rPr>
          <w:szCs w:val="18"/>
        </w:rPr>
        <w:t xml:space="preserve"> časti Slovenského raja).</w:t>
      </w:r>
      <w:r w:rsidR="006B5C79">
        <w:rPr>
          <w:szCs w:val="18"/>
        </w:rPr>
        <w:t xml:space="preserve"> Tento rast v severnej časti je aj čiastočne ovplyvnený väčším počtom Rómskych segregovaných osád (6465 obyvateľov), v porovnaní s južnou časťou (1205 obyvateľov) a blízkosťou k okresnému mestu Spišská Nová Ves.</w:t>
      </w:r>
      <w:r w:rsidR="009441E3">
        <w:rPr>
          <w:szCs w:val="18"/>
        </w:rPr>
        <w:t xml:space="preserve"> </w:t>
      </w:r>
    </w:p>
    <w:p w14:paraId="55939FEA" w14:textId="78AB4BB7" w:rsidR="006B5C79" w:rsidRPr="009441E3" w:rsidRDefault="006B5C79" w:rsidP="009441E3">
      <w:pPr>
        <w:rPr>
          <w:b/>
          <w:i/>
        </w:rPr>
      </w:pPr>
      <w:r w:rsidRPr="009441E3">
        <w:rPr>
          <w:b/>
          <w:i/>
        </w:rPr>
        <w:t>Veková štruktúra obyvateľov a index starnutia obyvateľov</w:t>
      </w:r>
    </w:p>
    <w:p w14:paraId="1B6AA4B5" w14:textId="10C126FF" w:rsidR="006B5C79" w:rsidRPr="00871622" w:rsidRDefault="00FB1ED5" w:rsidP="00064454">
      <w:pPr>
        <w:spacing w:before="120" w:after="200" w:line="276" w:lineRule="auto"/>
        <w:jc w:val="both"/>
        <w:rPr>
          <w:b/>
          <w:sz w:val="18"/>
          <w:szCs w:val="18"/>
        </w:rPr>
      </w:pPr>
      <w:r>
        <w:rPr>
          <w:bCs/>
          <w:szCs w:val="24"/>
        </w:rPr>
        <w:t>Posúdenie</w:t>
      </w:r>
      <w:r w:rsidR="00064454">
        <w:rPr>
          <w:bCs/>
          <w:szCs w:val="24"/>
        </w:rPr>
        <w:t xml:space="preserve"> vekovej štruktúry</w:t>
      </w:r>
      <w:r>
        <w:rPr>
          <w:bCs/>
          <w:szCs w:val="24"/>
        </w:rPr>
        <w:t xml:space="preserve"> obyvateľstva</w:t>
      </w:r>
      <w:r w:rsidR="00102575">
        <w:rPr>
          <w:bCs/>
          <w:szCs w:val="24"/>
        </w:rPr>
        <w:t xml:space="preserve"> a in</w:t>
      </w:r>
      <w:r w:rsidR="0090216D">
        <w:rPr>
          <w:bCs/>
          <w:szCs w:val="24"/>
        </w:rPr>
        <w:t>d</w:t>
      </w:r>
      <w:r w:rsidR="00102575">
        <w:rPr>
          <w:bCs/>
          <w:szCs w:val="24"/>
        </w:rPr>
        <w:t>exu starnutia</w:t>
      </w:r>
      <w:r w:rsidR="00064454">
        <w:rPr>
          <w:bCs/>
          <w:szCs w:val="24"/>
        </w:rPr>
        <w:t xml:space="preserve"> je dôležitá z dôvodu identifikácie najzraniteľnejších skupín vzhľadom na</w:t>
      </w:r>
      <w:r>
        <w:rPr>
          <w:bCs/>
          <w:szCs w:val="24"/>
        </w:rPr>
        <w:t xml:space="preserve"> negatívne dopady zmeny</w:t>
      </w:r>
      <w:r w:rsidR="00064454">
        <w:rPr>
          <w:bCs/>
          <w:szCs w:val="24"/>
        </w:rPr>
        <w:t xml:space="preserve"> klímy (deti a seniori). </w:t>
      </w:r>
      <w:r w:rsidR="006B5C79" w:rsidRPr="00AF7EF5">
        <w:rPr>
          <w:bCs/>
          <w:szCs w:val="24"/>
        </w:rPr>
        <w:t>Veková štruktúra obyvateľov severnej a južnej časti Slovenského raja je analyzovaná na základe rozdelenia základných vekových skupín podľa Európskej Únie a jej údaje za rok 2012</w:t>
      </w:r>
      <w:r w:rsidR="006B5C79">
        <w:rPr>
          <w:bCs/>
          <w:szCs w:val="24"/>
        </w:rPr>
        <w:t xml:space="preserve"> a 2016</w:t>
      </w:r>
      <w:r w:rsidR="006B5C79" w:rsidRPr="00AF7EF5">
        <w:rPr>
          <w:bCs/>
          <w:szCs w:val="24"/>
        </w:rPr>
        <w:t xml:space="preserve"> sú znázornené v nasledujúcich tabuľkách:</w:t>
      </w:r>
      <w:bookmarkStart w:id="8" w:name="_Toc401066849"/>
      <w:r w:rsidR="006B5C79">
        <w:rPr>
          <w:b/>
          <w:sz w:val="18"/>
          <w:szCs w:val="18"/>
        </w:rPr>
        <w:t xml:space="preserve"> </w:t>
      </w:r>
    </w:p>
    <w:tbl>
      <w:tblPr>
        <w:tblW w:w="5740" w:type="dxa"/>
        <w:tblInd w:w="-5" w:type="dxa"/>
        <w:tblCellMar>
          <w:left w:w="70" w:type="dxa"/>
          <w:right w:w="70" w:type="dxa"/>
        </w:tblCellMar>
        <w:tblLook w:val="04A0" w:firstRow="1" w:lastRow="0" w:firstColumn="1" w:lastColumn="0" w:noHBand="0" w:noVBand="1"/>
      </w:tblPr>
      <w:tblGrid>
        <w:gridCol w:w="2560"/>
        <w:gridCol w:w="1140"/>
        <w:gridCol w:w="1000"/>
        <w:gridCol w:w="1040"/>
      </w:tblGrid>
      <w:tr w:rsidR="006B5C79" w:rsidRPr="00D2760F" w14:paraId="588C7751" w14:textId="77777777" w:rsidTr="000029BC">
        <w:trPr>
          <w:trHeight w:val="480"/>
        </w:trPr>
        <w:tc>
          <w:tcPr>
            <w:tcW w:w="256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53D7F48" w14:textId="77777777" w:rsidR="006B5C79" w:rsidRPr="00D2760F" w:rsidRDefault="006B5C79" w:rsidP="000029BC">
            <w:pPr>
              <w:spacing w:after="0" w:line="240" w:lineRule="auto"/>
              <w:rPr>
                <w:rFonts w:ascii="Calibri" w:eastAsia="Times New Roman" w:hAnsi="Calibri" w:cs="Calibri"/>
                <w:b/>
                <w:bCs/>
                <w:color w:val="000000"/>
                <w:sz w:val="18"/>
                <w:szCs w:val="18"/>
                <w:lang w:eastAsia="sk-SK"/>
              </w:rPr>
            </w:pPr>
            <w:r w:rsidRPr="00D2760F">
              <w:rPr>
                <w:rFonts w:ascii="Calibri" w:eastAsia="Times New Roman" w:hAnsi="Calibri" w:cs="Calibri"/>
                <w:b/>
                <w:bCs/>
                <w:color w:val="000000"/>
                <w:sz w:val="18"/>
                <w:szCs w:val="18"/>
                <w:lang w:eastAsia="sk-SK"/>
              </w:rPr>
              <w:t>Základné vekové skupiny podľa EU</w:t>
            </w:r>
          </w:p>
        </w:tc>
        <w:tc>
          <w:tcPr>
            <w:tcW w:w="1140" w:type="dxa"/>
            <w:tcBorders>
              <w:top w:val="single" w:sz="4" w:space="0" w:color="auto"/>
              <w:left w:val="nil"/>
              <w:bottom w:val="single" w:sz="4" w:space="0" w:color="auto"/>
              <w:right w:val="single" w:sz="4" w:space="0" w:color="auto"/>
            </w:tcBorders>
            <w:shd w:val="clear" w:color="000000" w:fill="BFBFBF"/>
            <w:vAlign w:val="center"/>
            <w:hideMark/>
          </w:tcPr>
          <w:p w14:paraId="0348CA99" w14:textId="77777777" w:rsidR="006B5C79" w:rsidRPr="00D2760F" w:rsidRDefault="006B5C79" w:rsidP="000029BC">
            <w:pPr>
              <w:spacing w:after="0" w:line="240" w:lineRule="auto"/>
              <w:jc w:val="center"/>
              <w:rPr>
                <w:rFonts w:ascii="Calibri" w:eastAsia="Times New Roman" w:hAnsi="Calibri" w:cs="Calibri"/>
                <w:b/>
                <w:bCs/>
                <w:color w:val="000000"/>
                <w:sz w:val="18"/>
                <w:szCs w:val="18"/>
                <w:lang w:eastAsia="sk-SK"/>
              </w:rPr>
            </w:pPr>
            <w:r w:rsidRPr="00D2760F">
              <w:rPr>
                <w:rFonts w:ascii="Calibri" w:eastAsia="Times New Roman" w:hAnsi="Calibri" w:cs="Calibri"/>
                <w:b/>
                <w:bCs/>
                <w:color w:val="000000"/>
                <w:sz w:val="18"/>
                <w:szCs w:val="18"/>
                <w:lang w:eastAsia="sk-SK"/>
              </w:rPr>
              <w:t>2012</w:t>
            </w:r>
          </w:p>
        </w:tc>
        <w:tc>
          <w:tcPr>
            <w:tcW w:w="1000" w:type="dxa"/>
            <w:tcBorders>
              <w:top w:val="single" w:sz="4" w:space="0" w:color="auto"/>
              <w:left w:val="nil"/>
              <w:bottom w:val="single" w:sz="4" w:space="0" w:color="auto"/>
              <w:right w:val="single" w:sz="4" w:space="0" w:color="auto"/>
            </w:tcBorders>
            <w:shd w:val="clear" w:color="000000" w:fill="BFBFBF"/>
            <w:noWrap/>
            <w:vAlign w:val="center"/>
            <w:hideMark/>
          </w:tcPr>
          <w:p w14:paraId="1A90F01B" w14:textId="77777777" w:rsidR="006B5C79" w:rsidRPr="00D2760F" w:rsidRDefault="006B5C79" w:rsidP="000029BC">
            <w:pPr>
              <w:spacing w:after="0" w:line="240" w:lineRule="auto"/>
              <w:jc w:val="center"/>
              <w:rPr>
                <w:rFonts w:ascii="Calibri" w:eastAsia="Times New Roman" w:hAnsi="Calibri" w:cs="Calibri"/>
                <w:color w:val="000000"/>
                <w:sz w:val="18"/>
                <w:szCs w:val="18"/>
                <w:lang w:eastAsia="sk-SK"/>
              </w:rPr>
            </w:pPr>
            <w:r w:rsidRPr="00D2760F">
              <w:rPr>
                <w:rFonts w:ascii="Calibri" w:eastAsia="Times New Roman" w:hAnsi="Calibri" w:cs="Calibri"/>
                <w:color w:val="000000"/>
                <w:sz w:val="18"/>
                <w:szCs w:val="18"/>
                <w:lang w:eastAsia="sk-SK"/>
              </w:rPr>
              <w:t>2016</w:t>
            </w:r>
          </w:p>
        </w:tc>
        <w:tc>
          <w:tcPr>
            <w:tcW w:w="1040" w:type="dxa"/>
            <w:tcBorders>
              <w:top w:val="single" w:sz="4" w:space="0" w:color="auto"/>
              <w:left w:val="nil"/>
              <w:bottom w:val="single" w:sz="4" w:space="0" w:color="auto"/>
              <w:right w:val="single" w:sz="4" w:space="0" w:color="auto"/>
            </w:tcBorders>
            <w:shd w:val="clear" w:color="000000" w:fill="BFBFBF"/>
            <w:noWrap/>
            <w:vAlign w:val="center"/>
            <w:hideMark/>
          </w:tcPr>
          <w:p w14:paraId="4557E8D8" w14:textId="77777777" w:rsidR="006B5C79" w:rsidRPr="00D2760F" w:rsidRDefault="006B5C79" w:rsidP="000029BC">
            <w:pPr>
              <w:spacing w:after="0" w:line="240" w:lineRule="auto"/>
              <w:jc w:val="center"/>
              <w:rPr>
                <w:rFonts w:ascii="Calibri" w:eastAsia="Times New Roman" w:hAnsi="Calibri" w:cs="Calibri"/>
                <w:color w:val="000000"/>
                <w:sz w:val="18"/>
                <w:szCs w:val="18"/>
                <w:lang w:eastAsia="sk-SK"/>
              </w:rPr>
            </w:pPr>
            <w:r w:rsidRPr="00D2760F">
              <w:rPr>
                <w:rFonts w:ascii="Calibri" w:eastAsia="Times New Roman" w:hAnsi="Calibri" w:cs="Calibri"/>
                <w:color w:val="000000"/>
                <w:sz w:val="18"/>
                <w:szCs w:val="18"/>
                <w:lang w:eastAsia="sk-SK"/>
              </w:rPr>
              <w:t>rozdiel</w:t>
            </w:r>
          </w:p>
        </w:tc>
      </w:tr>
      <w:tr w:rsidR="006B5C79" w:rsidRPr="00D2760F" w14:paraId="5A6B655E" w14:textId="77777777" w:rsidTr="000029BC">
        <w:trPr>
          <w:trHeight w:val="465"/>
        </w:trPr>
        <w:tc>
          <w:tcPr>
            <w:tcW w:w="2560" w:type="dxa"/>
            <w:tcBorders>
              <w:top w:val="nil"/>
              <w:left w:val="single" w:sz="4" w:space="0" w:color="auto"/>
              <w:bottom w:val="single" w:sz="4" w:space="0" w:color="auto"/>
              <w:right w:val="single" w:sz="4" w:space="0" w:color="auto"/>
            </w:tcBorders>
            <w:shd w:val="clear" w:color="000000" w:fill="BFBFBF"/>
            <w:vAlign w:val="center"/>
            <w:hideMark/>
          </w:tcPr>
          <w:p w14:paraId="1FCA37E4" w14:textId="77777777" w:rsidR="006B5C79" w:rsidRPr="00D2760F" w:rsidRDefault="006B5C79" w:rsidP="000029BC">
            <w:pPr>
              <w:spacing w:after="0" w:line="240" w:lineRule="auto"/>
              <w:rPr>
                <w:rFonts w:ascii="Calibri" w:eastAsia="Times New Roman" w:hAnsi="Calibri" w:cs="Calibri"/>
                <w:b/>
                <w:bCs/>
                <w:color w:val="000000"/>
                <w:sz w:val="18"/>
                <w:szCs w:val="18"/>
                <w:lang w:eastAsia="sk-SK"/>
              </w:rPr>
            </w:pPr>
            <w:r w:rsidRPr="00D2760F">
              <w:rPr>
                <w:rFonts w:ascii="Calibri" w:eastAsia="Times New Roman" w:hAnsi="Calibri" w:cs="Calibri"/>
                <w:b/>
                <w:bCs/>
                <w:color w:val="000000"/>
                <w:sz w:val="18"/>
                <w:szCs w:val="18"/>
                <w:lang w:eastAsia="sk-SK"/>
              </w:rPr>
              <w:t>Predproduktívny vek - (0 - 14)</w:t>
            </w:r>
          </w:p>
        </w:tc>
        <w:tc>
          <w:tcPr>
            <w:tcW w:w="1140" w:type="dxa"/>
            <w:tcBorders>
              <w:top w:val="nil"/>
              <w:left w:val="nil"/>
              <w:bottom w:val="single" w:sz="4" w:space="0" w:color="auto"/>
              <w:right w:val="single" w:sz="4" w:space="0" w:color="auto"/>
            </w:tcBorders>
            <w:shd w:val="clear" w:color="auto" w:fill="auto"/>
            <w:noWrap/>
            <w:vAlign w:val="center"/>
            <w:hideMark/>
          </w:tcPr>
          <w:p w14:paraId="2BCEFB06" w14:textId="77777777" w:rsidR="006B5C79" w:rsidRPr="00D2760F" w:rsidRDefault="006B5C79" w:rsidP="000029BC">
            <w:pPr>
              <w:spacing w:after="0" w:line="240" w:lineRule="auto"/>
              <w:jc w:val="center"/>
              <w:rPr>
                <w:rFonts w:ascii="Calibri" w:eastAsia="Times New Roman" w:hAnsi="Calibri" w:cs="Calibri"/>
                <w:color w:val="000000"/>
                <w:sz w:val="20"/>
                <w:szCs w:val="20"/>
                <w:lang w:eastAsia="sk-SK"/>
              </w:rPr>
            </w:pPr>
            <w:r w:rsidRPr="00D2760F">
              <w:rPr>
                <w:rFonts w:ascii="Calibri" w:eastAsia="Times New Roman" w:hAnsi="Calibri" w:cs="Calibri"/>
                <w:color w:val="000000"/>
                <w:sz w:val="20"/>
                <w:szCs w:val="20"/>
                <w:lang w:eastAsia="sk-SK"/>
              </w:rPr>
              <w:t>5 960</w:t>
            </w:r>
          </w:p>
        </w:tc>
        <w:tc>
          <w:tcPr>
            <w:tcW w:w="1000" w:type="dxa"/>
            <w:tcBorders>
              <w:top w:val="nil"/>
              <w:left w:val="nil"/>
              <w:bottom w:val="single" w:sz="4" w:space="0" w:color="auto"/>
              <w:right w:val="single" w:sz="4" w:space="0" w:color="auto"/>
            </w:tcBorders>
            <w:shd w:val="clear" w:color="auto" w:fill="auto"/>
            <w:vAlign w:val="center"/>
            <w:hideMark/>
          </w:tcPr>
          <w:p w14:paraId="3E80DCD0" w14:textId="77777777" w:rsidR="006B5C79" w:rsidRPr="00D2760F" w:rsidRDefault="006B5C79" w:rsidP="000029BC">
            <w:pPr>
              <w:spacing w:after="0" w:line="240" w:lineRule="auto"/>
              <w:jc w:val="center"/>
              <w:rPr>
                <w:rFonts w:ascii="Calibri" w:eastAsia="Times New Roman" w:hAnsi="Calibri" w:cs="Calibri"/>
                <w:color w:val="000000"/>
                <w:sz w:val="20"/>
                <w:szCs w:val="20"/>
                <w:lang w:eastAsia="sk-SK"/>
              </w:rPr>
            </w:pPr>
            <w:r w:rsidRPr="00D2760F">
              <w:rPr>
                <w:rFonts w:ascii="Calibri" w:eastAsia="Times New Roman" w:hAnsi="Calibri" w:cs="Calibri"/>
                <w:color w:val="000000"/>
                <w:sz w:val="20"/>
                <w:szCs w:val="20"/>
                <w:lang w:eastAsia="sk-SK"/>
              </w:rPr>
              <w:t>5 972</w:t>
            </w:r>
          </w:p>
        </w:tc>
        <w:tc>
          <w:tcPr>
            <w:tcW w:w="1040" w:type="dxa"/>
            <w:tcBorders>
              <w:top w:val="nil"/>
              <w:left w:val="nil"/>
              <w:bottom w:val="single" w:sz="4" w:space="0" w:color="auto"/>
              <w:right w:val="single" w:sz="4" w:space="0" w:color="auto"/>
            </w:tcBorders>
            <w:shd w:val="clear" w:color="auto" w:fill="auto"/>
            <w:noWrap/>
            <w:vAlign w:val="center"/>
            <w:hideMark/>
          </w:tcPr>
          <w:p w14:paraId="70A3E3E9" w14:textId="77777777" w:rsidR="006B5C79" w:rsidRPr="00D2760F" w:rsidRDefault="006B5C79" w:rsidP="000029BC">
            <w:pPr>
              <w:spacing w:after="0" w:line="240" w:lineRule="auto"/>
              <w:jc w:val="center"/>
              <w:rPr>
                <w:rFonts w:ascii="Calibri" w:eastAsia="Times New Roman" w:hAnsi="Calibri" w:cs="Calibri"/>
                <w:color w:val="000000"/>
                <w:sz w:val="18"/>
                <w:szCs w:val="18"/>
                <w:lang w:eastAsia="sk-SK"/>
              </w:rPr>
            </w:pPr>
            <w:r w:rsidRPr="00D2760F">
              <w:rPr>
                <w:rFonts w:ascii="Calibri" w:eastAsia="Times New Roman" w:hAnsi="Calibri" w:cs="Calibri"/>
                <w:color w:val="000000"/>
                <w:sz w:val="18"/>
                <w:szCs w:val="18"/>
                <w:lang w:eastAsia="sk-SK"/>
              </w:rPr>
              <w:t>0,20%</w:t>
            </w:r>
          </w:p>
        </w:tc>
      </w:tr>
      <w:tr w:rsidR="006B5C79" w:rsidRPr="00D2760F" w14:paraId="6126DE3D" w14:textId="77777777" w:rsidTr="000029BC">
        <w:trPr>
          <w:trHeight w:val="465"/>
        </w:trPr>
        <w:tc>
          <w:tcPr>
            <w:tcW w:w="2560" w:type="dxa"/>
            <w:tcBorders>
              <w:top w:val="nil"/>
              <w:left w:val="single" w:sz="4" w:space="0" w:color="auto"/>
              <w:bottom w:val="single" w:sz="4" w:space="0" w:color="auto"/>
              <w:right w:val="single" w:sz="4" w:space="0" w:color="auto"/>
            </w:tcBorders>
            <w:shd w:val="clear" w:color="000000" w:fill="BFBFBF"/>
            <w:vAlign w:val="center"/>
            <w:hideMark/>
          </w:tcPr>
          <w:p w14:paraId="651CAD93" w14:textId="77777777" w:rsidR="006B5C79" w:rsidRPr="00D2760F" w:rsidRDefault="006B5C79" w:rsidP="000029BC">
            <w:pPr>
              <w:spacing w:after="0" w:line="240" w:lineRule="auto"/>
              <w:rPr>
                <w:rFonts w:ascii="Calibri" w:eastAsia="Times New Roman" w:hAnsi="Calibri" w:cs="Calibri"/>
                <w:b/>
                <w:bCs/>
                <w:color w:val="000000"/>
                <w:sz w:val="18"/>
                <w:szCs w:val="18"/>
                <w:lang w:eastAsia="sk-SK"/>
              </w:rPr>
            </w:pPr>
            <w:r w:rsidRPr="00D2760F">
              <w:rPr>
                <w:rFonts w:ascii="Calibri" w:eastAsia="Times New Roman" w:hAnsi="Calibri" w:cs="Calibri"/>
                <w:b/>
                <w:bCs/>
                <w:color w:val="000000"/>
                <w:sz w:val="18"/>
                <w:szCs w:val="18"/>
                <w:lang w:eastAsia="sk-SK"/>
              </w:rPr>
              <w:t>Produktívny vek - (15 - 64)</w:t>
            </w:r>
          </w:p>
        </w:tc>
        <w:tc>
          <w:tcPr>
            <w:tcW w:w="1140" w:type="dxa"/>
            <w:tcBorders>
              <w:top w:val="nil"/>
              <w:left w:val="nil"/>
              <w:bottom w:val="single" w:sz="4" w:space="0" w:color="auto"/>
              <w:right w:val="single" w:sz="4" w:space="0" w:color="auto"/>
            </w:tcBorders>
            <w:shd w:val="clear" w:color="auto" w:fill="auto"/>
            <w:noWrap/>
            <w:vAlign w:val="center"/>
            <w:hideMark/>
          </w:tcPr>
          <w:p w14:paraId="183BC5DC" w14:textId="77777777" w:rsidR="006B5C79" w:rsidRPr="00D2760F" w:rsidRDefault="006B5C79" w:rsidP="000029BC">
            <w:pPr>
              <w:spacing w:after="0" w:line="240" w:lineRule="auto"/>
              <w:jc w:val="center"/>
              <w:rPr>
                <w:rFonts w:ascii="Calibri" w:eastAsia="Times New Roman" w:hAnsi="Calibri" w:cs="Calibri"/>
                <w:color w:val="000000"/>
                <w:sz w:val="20"/>
                <w:szCs w:val="20"/>
                <w:lang w:eastAsia="sk-SK"/>
              </w:rPr>
            </w:pPr>
            <w:r w:rsidRPr="00D2760F">
              <w:rPr>
                <w:rFonts w:ascii="Calibri" w:eastAsia="Times New Roman" w:hAnsi="Calibri" w:cs="Calibri"/>
                <w:color w:val="000000"/>
                <w:sz w:val="20"/>
                <w:szCs w:val="20"/>
                <w:lang w:eastAsia="sk-SK"/>
              </w:rPr>
              <w:t>17 409</w:t>
            </w:r>
          </w:p>
        </w:tc>
        <w:tc>
          <w:tcPr>
            <w:tcW w:w="1000" w:type="dxa"/>
            <w:tcBorders>
              <w:top w:val="nil"/>
              <w:left w:val="nil"/>
              <w:bottom w:val="single" w:sz="4" w:space="0" w:color="auto"/>
              <w:right w:val="single" w:sz="4" w:space="0" w:color="auto"/>
            </w:tcBorders>
            <w:shd w:val="clear" w:color="auto" w:fill="auto"/>
            <w:vAlign w:val="center"/>
            <w:hideMark/>
          </w:tcPr>
          <w:p w14:paraId="48223A26" w14:textId="77777777" w:rsidR="006B5C79" w:rsidRPr="00D2760F" w:rsidRDefault="006B5C79" w:rsidP="000029BC">
            <w:pPr>
              <w:spacing w:after="0" w:line="240" w:lineRule="auto"/>
              <w:jc w:val="center"/>
              <w:rPr>
                <w:rFonts w:ascii="Calibri" w:eastAsia="Times New Roman" w:hAnsi="Calibri" w:cs="Calibri"/>
                <w:color w:val="000000"/>
                <w:sz w:val="20"/>
                <w:szCs w:val="20"/>
                <w:lang w:eastAsia="sk-SK"/>
              </w:rPr>
            </w:pPr>
            <w:r w:rsidRPr="00D2760F">
              <w:rPr>
                <w:rFonts w:ascii="Calibri" w:eastAsia="Times New Roman" w:hAnsi="Calibri" w:cs="Calibri"/>
                <w:color w:val="000000"/>
                <w:sz w:val="20"/>
                <w:szCs w:val="20"/>
                <w:lang w:eastAsia="sk-SK"/>
              </w:rPr>
              <w:t>18 036</w:t>
            </w:r>
          </w:p>
        </w:tc>
        <w:tc>
          <w:tcPr>
            <w:tcW w:w="1040" w:type="dxa"/>
            <w:tcBorders>
              <w:top w:val="nil"/>
              <w:left w:val="nil"/>
              <w:bottom w:val="single" w:sz="4" w:space="0" w:color="auto"/>
              <w:right w:val="single" w:sz="4" w:space="0" w:color="auto"/>
            </w:tcBorders>
            <w:shd w:val="clear" w:color="auto" w:fill="auto"/>
            <w:noWrap/>
            <w:vAlign w:val="center"/>
            <w:hideMark/>
          </w:tcPr>
          <w:p w14:paraId="641DAA9B" w14:textId="77777777" w:rsidR="006B5C79" w:rsidRPr="00D2760F" w:rsidRDefault="006B5C79" w:rsidP="000029BC">
            <w:pPr>
              <w:spacing w:after="0" w:line="240" w:lineRule="auto"/>
              <w:jc w:val="center"/>
              <w:rPr>
                <w:rFonts w:ascii="Calibri" w:eastAsia="Times New Roman" w:hAnsi="Calibri" w:cs="Calibri"/>
                <w:color w:val="000000"/>
                <w:sz w:val="18"/>
                <w:szCs w:val="18"/>
                <w:lang w:eastAsia="sk-SK"/>
              </w:rPr>
            </w:pPr>
            <w:r w:rsidRPr="00D2760F">
              <w:rPr>
                <w:rFonts w:ascii="Calibri" w:eastAsia="Times New Roman" w:hAnsi="Calibri" w:cs="Calibri"/>
                <w:color w:val="000000"/>
                <w:sz w:val="18"/>
                <w:szCs w:val="18"/>
                <w:lang w:eastAsia="sk-SK"/>
              </w:rPr>
              <w:t>3,48%</w:t>
            </w:r>
          </w:p>
        </w:tc>
      </w:tr>
      <w:tr w:rsidR="006B5C79" w:rsidRPr="00D2760F" w14:paraId="128C5815" w14:textId="77777777" w:rsidTr="000029BC">
        <w:trPr>
          <w:trHeight w:val="465"/>
        </w:trPr>
        <w:tc>
          <w:tcPr>
            <w:tcW w:w="2560" w:type="dxa"/>
            <w:tcBorders>
              <w:top w:val="nil"/>
              <w:left w:val="single" w:sz="4" w:space="0" w:color="auto"/>
              <w:bottom w:val="single" w:sz="4" w:space="0" w:color="auto"/>
              <w:right w:val="single" w:sz="4" w:space="0" w:color="auto"/>
            </w:tcBorders>
            <w:shd w:val="clear" w:color="000000" w:fill="BFBFBF"/>
            <w:vAlign w:val="center"/>
            <w:hideMark/>
          </w:tcPr>
          <w:p w14:paraId="2B28B383" w14:textId="77777777" w:rsidR="006B5C79" w:rsidRPr="00D2760F" w:rsidRDefault="006B5C79" w:rsidP="000029BC">
            <w:pPr>
              <w:spacing w:after="0" w:line="240" w:lineRule="auto"/>
              <w:rPr>
                <w:rFonts w:ascii="Calibri" w:eastAsia="Times New Roman" w:hAnsi="Calibri" w:cs="Calibri"/>
                <w:b/>
                <w:bCs/>
                <w:color w:val="000000"/>
                <w:sz w:val="18"/>
                <w:szCs w:val="18"/>
                <w:lang w:eastAsia="sk-SK"/>
              </w:rPr>
            </w:pPr>
            <w:r w:rsidRPr="00D2760F">
              <w:rPr>
                <w:rFonts w:ascii="Calibri" w:eastAsia="Times New Roman" w:hAnsi="Calibri" w:cs="Calibri"/>
                <w:b/>
                <w:bCs/>
                <w:color w:val="000000"/>
                <w:sz w:val="18"/>
                <w:szCs w:val="18"/>
                <w:lang w:eastAsia="sk-SK"/>
              </w:rPr>
              <w:t>Poproduktívny vek – (65 - 100+)</w:t>
            </w:r>
          </w:p>
        </w:tc>
        <w:tc>
          <w:tcPr>
            <w:tcW w:w="1140" w:type="dxa"/>
            <w:tcBorders>
              <w:top w:val="nil"/>
              <w:left w:val="nil"/>
              <w:bottom w:val="single" w:sz="4" w:space="0" w:color="auto"/>
              <w:right w:val="single" w:sz="4" w:space="0" w:color="auto"/>
            </w:tcBorders>
            <w:shd w:val="clear" w:color="auto" w:fill="auto"/>
            <w:noWrap/>
            <w:vAlign w:val="center"/>
            <w:hideMark/>
          </w:tcPr>
          <w:p w14:paraId="537B6AE7" w14:textId="77777777" w:rsidR="006B5C79" w:rsidRPr="00D2760F" w:rsidRDefault="006B5C79" w:rsidP="000029BC">
            <w:pPr>
              <w:spacing w:after="0" w:line="240" w:lineRule="auto"/>
              <w:jc w:val="center"/>
              <w:rPr>
                <w:rFonts w:ascii="Calibri" w:eastAsia="Times New Roman" w:hAnsi="Calibri" w:cs="Calibri"/>
                <w:color w:val="000000"/>
                <w:sz w:val="20"/>
                <w:szCs w:val="20"/>
                <w:lang w:eastAsia="sk-SK"/>
              </w:rPr>
            </w:pPr>
            <w:r w:rsidRPr="00D2760F">
              <w:rPr>
                <w:rFonts w:ascii="Calibri" w:eastAsia="Times New Roman" w:hAnsi="Calibri" w:cs="Calibri"/>
                <w:color w:val="000000"/>
                <w:sz w:val="20"/>
                <w:szCs w:val="20"/>
                <w:lang w:eastAsia="sk-SK"/>
              </w:rPr>
              <w:t>2 270</w:t>
            </w:r>
          </w:p>
        </w:tc>
        <w:tc>
          <w:tcPr>
            <w:tcW w:w="1000" w:type="dxa"/>
            <w:tcBorders>
              <w:top w:val="nil"/>
              <w:left w:val="nil"/>
              <w:bottom w:val="single" w:sz="4" w:space="0" w:color="auto"/>
              <w:right w:val="single" w:sz="4" w:space="0" w:color="auto"/>
            </w:tcBorders>
            <w:shd w:val="clear" w:color="auto" w:fill="auto"/>
            <w:vAlign w:val="center"/>
            <w:hideMark/>
          </w:tcPr>
          <w:p w14:paraId="40C0F03E" w14:textId="77777777" w:rsidR="006B5C79" w:rsidRPr="00D2760F" w:rsidRDefault="006B5C79" w:rsidP="000029BC">
            <w:pPr>
              <w:spacing w:after="0" w:line="240" w:lineRule="auto"/>
              <w:jc w:val="center"/>
              <w:rPr>
                <w:rFonts w:ascii="Calibri" w:eastAsia="Times New Roman" w:hAnsi="Calibri" w:cs="Calibri"/>
                <w:color w:val="000000"/>
                <w:sz w:val="20"/>
                <w:szCs w:val="20"/>
                <w:lang w:eastAsia="sk-SK"/>
              </w:rPr>
            </w:pPr>
            <w:r w:rsidRPr="00D2760F">
              <w:rPr>
                <w:rFonts w:ascii="Calibri" w:eastAsia="Times New Roman" w:hAnsi="Calibri" w:cs="Calibri"/>
                <w:color w:val="000000"/>
                <w:sz w:val="20"/>
                <w:szCs w:val="20"/>
                <w:lang w:eastAsia="sk-SK"/>
              </w:rPr>
              <w:t>2 707</w:t>
            </w:r>
          </w:p>
        </w:tc>
        <w:tc>
          <w:tcPr>
            <w:tcW w:w="1040" w:type="dxa"/>
            <w:tcBorders>
              <w:top w:val="nil"/>
              <w:left w:val="nil"/>
              <w:bottom w:val="single" w:sz="4" w:space="0" w:color="auto"/>
              <w:right w:val="single" w:sz="4" w:space="0" w:color="auto"/>
            </w:tcBorders>
            <w:shd w:val="clear" w:color="auto" w:fill="auto"/>
            <w:noWrap/>
            <w:vAlign w:val="center"/>
            <w:hideMark/>
          </w:tcPr>
          <w:p w14:paraId="44CD4993" w14:textId="77777777" w:rsidR="006B5C79" w:rsidRPr="00D2760F" w:rsidRDefault="006B5C79" w:rsidP="000029BC">
            <w:pPr>
              <w:spacing w:after="0" w:line="240" w:lineRule="auto"/>
              <w:jc w:val="center"/>
              <w:rPr>
                <w:rFonts w:ascii="Calibri" w:eastAsia="Times New Roman" w:hAnsi="Calibri" w:cs="Calibri"/>
                <w:color w:val="000000"/>
                <w:sz w:val="18"/>
                <w:szCs w:val="18"/>
                <w:lang w:eastAsia="sk-SK"/>
              </w:rPr>
            </w:pPr>
            <w:r w:rsidRPr="00D2760F">
              <w:rPr>
                <w:rFonts w:ascii="Calibri" w:eastAsia="Times New Roman" w:hAnsi="Calibri" w:cs="Calibri"/>
                <w:color w:val="000000"/>
                <w:sz w:val="18"/>
                <w:szCs w:val="18"/>
                <w:lang w:eastAsia="sk-SK"/>
              </w:rPr>
              <w:t>16,14%</w:t>
            </w:r>
          </w:p>
        </w:tc>
      </w:tr>
      <w:tr w:rsidR="006B5C79" w:rsidRPr="00D2760F" w14:paraId="6D10BF15" w14:textId="77777777" w:rsidTr="000029BC">
        <w:trPr>
          <w:trHeight w:val="465"/>
        </w:trPr>
        <w:tc>
          <w:tcPr>
            <w:tcW w:w="2560" w:type="dxa"/>
            <w:tcBorders>
              <w:top w:val="nil"/>
              <w:left w:val="single" w:sz="4" w:space="0" w:color="auto"/>
              <w:bottom w:val="single" w:sz="4" w:space="0" w:color="auto"/>
              <w:right w:val="single" w:sz="4" w:space="0" w:color="auto"/>
            </w:tcBorders>
            <w:shd w:val="clear" w:color="000000" w:fill="BFBFBF"/>
            <w:vAlign w:val="center"/>
            <w:hideMark/>
          </w:tcPr>
          <w:p w14:paraId="2D1BE2A4" w14:textId="77777777" w:rsidR="006B5C79" w:rsidRPr="00D2760F" w:rsidRDefault="006B5C79" w:rsidP="000029BC">
            <w:pPr>
              <w:spacing w:after="0" w:line="240" w:lineRule="auto"/>
              <w:rPr>
                <w:rFonts w:ascii="Calibri" w:eastAsia="Times New Roman" w:hAnsi="Calibri" w:cs="Calibri"/>
                <w:b/>
                <w:bCs/>
                <w:color w:val="000000"/>
                <w:sz w:val="18"/>
                <w:szCs w:val="18"/>
                <w:lang w:eastAsia="sk-SK"/>
              </w:rPr>
            </w:pPr>
            <w:r w:rsidRPr="00D2760F">
              <w:rPr>
                <w:rFonts w:ascii="Calibri" w:eastAsia="Times New Roman" w:hAnsi="Calibri" w:cs="Calibri"/>
                <w:b/>
                <w:bCs/>
                <w:color w:val="000000"/>
                <w:sz w:val="18"/>
                <w:szCs w:val="18"/>
                <w:lang w:eastAsia="sk-SK"/>
              </w:rPr>
              <w:t>Celkom</w:t>
            </w:r>
          </w:p>
        </w:tc>
        <w:tc>
          <w:tcPr>
            <w:tcW w:w="1140" w:type="dxa"/>
            <w:tcBorders>
              <w:top w:val="nil"/>
              <w:left w:val="nil"/>
              <w:bottom w:val="single" w:sz="4" w:space="0" w:color="auto"/>
              <w:right w:val="single" w:sz="4" w:space="0" w:color="auto"/>
            </w:tcBorders>
            <w:shd w:val="clear" w:color="auto" w:fill="auto"/>
            <w:noWrap/>
            <w:vAlign w:val="center"/>
            <w:hideMark/>
          </w:tcPr>
          <w:p w14:paraId="21D26C38" w14:textId="77777777" w:rsidR="006B5C79" w:rsidRPr="00D2760F" w:rsidRDefault="006B5C79" w:rsidP="000029BC">
            <w:pPr>
              <w:spacing w:after="0" w:line="240" w:lineRule="auto"/>
              <w:jc w:val="center"/>
              <w:rPr>
                <w:rFonts w:ascii="Calibri" w:eastAsia="Times New Roman" w:hAnsi="Calibri" w:cs="Calibri"/>
                <w:color w:val="000000"/>
                <w:sz w:val="20"/>
                <w:szCs w:val="20"/>
                <w:lang w:eastAsia="sk-SK"/>
              </w:rPr>
            </w:pPr>
            <w:r w:rsidRPr="00D2760F">
              <w:rPr>
                <w:rFonts w:ascii="Calibri" w:eastAsia="Times New Roman" w:hAnsi="Calibri" w:cs="Calibri"/>
                <w:color w:val="000000"/>
                <w:sz w:val="20"/>
                <w:szCs w:val="20"/>
                <w:lang w:eastAsia="sk-SK"/>
              </w:rPr>
              <w:t>25 639</w:t>
            </w:r>
          </w:p>
        </w:tc>
        <w:tc>
          <w:tcPr>
            <w:tcW w:w="1000" w:type="dxa"/>
            <w:tcBorders>
              <w:top w:val="nil"/>
              <w:left w:val="nil"/>
              <w:bottom w:val="single" w:sz="4" w:space="0" w:color="auto"/>
              <w:right w:val="single" w:sz="4" w:space="0" w:color="auto"/>
            </w:tcBorders>
            <w:shd w:val="clear" w:color="auto" w:fill="auto"/>
            <w:vAlign w:val="center"/>
            <w:hideMark/>
          </w:tcPr>
          <w:p w14:paraId="208E747E" w14:textId="77777777" w:rsidR="006B5C79" w:rsidRPr="00D2760F" w:rsidRDefault="006B5C79" w:rsidP="000029BC">
            <w:pPr>
              <w:spacing w:after="0" w:line="240" w:lineRule="auto"/>
              <w:jc w:val="center"/>
              <w:rPr>
                <w:rFonts w:ascii="Calibri" w:eastAsia="Times New Roman" w:hAnsi="Calibri" w:cs="Calibri"/>
                <w:color w:val="000000"/>
                <w:sz w:val="20"/>
                <w:szCs w:val="20"/>
                <w:lang w:eastAsia="sk-SK"/>
              </w:rPr>
            </w:pPr>
            <w:r w:rsidRPr="00D2760F">
              <w:rPr>
                <w:rFonts w:ascii="Calibri" w:eastAsia="Times New Roman" w:hAnsi="Calibri" w:cs="Calibri"/>
                <w:color w:val="000000"/>
                <w:sz w:val="20"/>
                <w:szCs w:val="20"/>
                <w:lang w:eastAsia="sk-SK"/>
              </w:rPr>
              <w:t>26 715</w:t>
            </w:r>
          </w:p>
        </w:tc>
        <w:tc>
          <w:tcPr>
            <w:tcW w:w="1040" w:type="dxa"/>
            <w:tcBorders>
              <w:top w:val="nil"/>
              <w:left w:val="nil"/>
              <w:bottom w:val="single" w:sz="4" w:space="0" w:color="auto"/>
              <w:right w:val="single" w:sz="4" w:space="0" w:color="auto"/>
            </w:tcBorders>
            <w:shd w:val="clear" w:color="auto" w:fill="auto"/>
            <w:noWrap/>
            <w:vAlign w:val="center"/>
            <w:hideMark/>
          </w:tcPr>
          <w:p w14:paraId="1417B894" w14:textId="77777777" w:rsidR="006B5C79" w:rsidRPr="00D2760F" w:rsidRDefault="006B5C79" w:rsidP="000029BC">
            <w:pPr>
              <w:keepNext/>
              <w:spacing w:after="0" w:line="240" w:lineRule="auto"/>
              <w:jc w:val="center"/>
              <w:rPr>
                <w:rFonts w:ascii="Calibri" w:eastAsia="Times New Roman" w:hAnsi="Calibri" w:cs="Calibri"/>
                <w:color w:val="000000"/>
                <w:sz w:val="18"/>
                <w:szCs w:val="18"/>
                <w:lang w:eastAsia="sk-SK"/>
              </w:rPr>
            </w:pPr>
            <w:r w:rsidRPr="00D2760F">
              <w:rPr>
                <w:rFonts w:ascii="Calibri" w:eastAsia="Times New Roman" w:hAnsi="Calibri" w:cs="Calibri"/>
                <w:color w:val="000000"/>
                <w:sz w:val="18"/>
                <w:szCs w:val="18"/>
                <w:lang w:eastAsia="sk-SK"/>
              </w:rPr>
              <w:t>4,03%</w:t>
            </w:r>
          </w:p>
        </w:tc>
      </w:tr>
    </w:tbl>
    <w:bookmarkEnd w:id="8"/>
    <w:p w14:paraId="367F871C" w14:textId="2E6FC11C" w:rsidR="006B5C79" w:rsidRPr="00871622" w:rsidRDefault="006B5C79" w:rsidP="006B5C79">
      <w:pPr>
        <w:pStyle w:val="Popis"/>
        <w:rPr>
          <w:b/>
          <w:i w:val="0"/>
          <w:color w:val="auto"/>
        </w:rPr>
      </w:pPr>
      <w:r w:rsidRPr="00871622">
        <w:rPr>
          <w:b/>
          <w:i w:val="0"/>
          <w:color w:val="auto"/>
        </w:rPr>
        <w:t xml:space="preserve">Tabuľka </w:t>
      </w:r>
      <w:r w:rsidR="00FF36C8">
        <w:rPr>
          <w:b/>
          <w:i w:val="0"/>
          <w:color w:val="auto"/>
        </w:rPr>
        <w:fldChar w:fldCharType="begin"/>
      </w:r>
      <w:r w:rsidR="00FF36C8">
        <w:rPr>
          <w:b/>
          <w:i w:val="0"/>
          <w:color w:val="auto"/>
        </w:rPr>
        <w:instrText xml:space="preserve"> SEQ Tabuľka \* ARABIC </w:instrText>
      </w:r>
      <w:r w:rsidR="00FF36C8">
        <w:rPr>
          <w:b/>
          <w:i w:val="0"/>
          <w:color w:val="auto"/>
        </w:rPr>
        <w:fldChar w:fldCharType="separate"/>
      </w:r>
      <w:r w:rsidR="00FF36C8">
        <w:rPr>
          <w:b/>
          <w:i w:val="0"/>
          <w:noProof/>
          <w:color w:val="auto"/>
        </w:rPr>
        <w:t>3</w:t>
      </w:r>
      <w:r w:rsidR="00FF36C8">
        <w:rPr>
          <w:b/>
          <w:i w:val="0"/>
          <w:color w:val="auto"/>
        </w:rPr>
        <w:fldChar w:fldCharType="end"/>
      </w:r>
      <w:r w:rsidRPr="00871622">
        <w:rPr>
          <w:b/>
          <w:i w:val="0"/>
          <w:color w:val="auto"/>
        </w:rPr>
        <w:t>.Veková štruktúra obyvateľov v obciach severnej časti Slovenského raja a rozdiel medzi dvoma obdobiami. Zdroj: vlastné spracovanie KRI,  ŠÚ SR</w:t>
      </w:r>
      <w:r>
        <w:rPr>
          <w:b/>
          <w:i w:val="0"/>
          <w:color w:val="auto"/>
        </w:rPr>
        <w:t xml:space="preserve"> 2018.</w:t>
      </w:r>
    </w:p>
    <w:p w14:paraId="556F0806" w14:textId="77777777" w:rsidR="006B5C79" w:rsidRDefault="006B5C79" w:rsidP="006B5C79">
      <w:pPr>
        <w:keepNext/>
        <w:spacing w:line="276" w:lineRule="auto"/>
      </w:pPr>
      <w:r>
        <w:rPr>
          <w:noProof/>
          <w:lang w:val="en-GB" w:eastAsia="en-GB"/>
        </w:rPr>
        <w:lastRenderedPageBreak/>
        <w:drawing>
          <wp:inline distT="0" distB="0" distL="0" distR="0" wp14:anchorId="1D030EC3" wp14:editId="27258486">
            <wp:extent cx="2895600" cy="2057400"/>
            <wp:effectExtent l="0" t="0" r="0" b="0"/>
            <wp:docPr id="9" name="Graf 9">
              <a:extLst xmlns:a="http://schemas.openxmlformats.org/drawingml/2006/main">
                <a:ext uri="{FF2B5EF4-FFF2-40B4-BE49-F238E27FC236}">
                  <a16:creationId xmlns:a16="http://schemas.microsoft.com/office/drawing/2014/main" id="{4A762F79-63E2-4B95-A332-01D8883923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F93B9A1" w14:textId="370200F0" w:rsidR="006B5C79" w:rsidRPr="009D7450" w:rsidRDefault="006B5C79" w:rsidP="006B5C79">
      <w:pPr>
        <w:pStyle w:val="Popis"/>
        <w:spacing w:line="276" w:lineRule="auto"/>
        <w:rPr>
          <w:b/>
          <w:i w:val="0"/>
          <w:szCs w:val="24"/>
        </w:rPr>
      </w:pPr>
      <w:r w:rsidRPr="009D7450">
        <w:rPr>
          <w:b/>
          <w:i w:val="0"/>
          <w:color w:val="auto"/>
        </w:rPr>
        <w:t xml:space="preserve">Graf </w:t>
      </w:r>
      <w:r w:rsidRPr="009D7450">
        <w:rPr>
          <w:b/>
          <w:i w:val="0"/>
          <w:color w:val="auto"/>
        </w:rPr>
        <w:fldChar w:fldCharType="begin"/>
      </w:r>
      <w:r w:rsidRPr="009D7450">
        <w:rPr>
          <w:b/>
          <w:i w:val="0"/>
          <w:color w:val="auto"/>
        </w:rPr>
        <w:instrText xml:space="preserve"> SEQ Graf \* ARABIC </w:instrText>
      </w:r>
      <w:r w:rsidRPr="009D7450">
        <w:rPr>
          <w:b/>
          <w:i w:val="0"/>
          <w:color w:val="auto"/>
        </w:rPr>
        <w:fldChar w:fldCharType="separate"/>
      </w:r>
      <w:r w:rsidR="00076161">
        <w:rPr>
          <w:b/>
          <w:i w:val="0"/>
          <w:noProof/>
          <w:color w:val="auto"/>
        </w:rPr>
        <w:t>4</w:t>
      </w:r>
      <w:r w:rsidRPr="009D7450">
        <w:rPr>
          <w:b/>
          <w:i w:val="0"/>
          <w:color w:val="auto"/>
        </w:rPr>
        <w:fldChar w:fldCharType="end"/>
      </w:r>
      <w:r w:rsidRPr="009D7450">
        <w:rPr>
          <w:b/>
          <w:i w:val="0"/>
          <w:color w:val="auto"/>
        </w:rPr>
        <w:t xml:space="preserve">. Veková štruktúra obyvateľov v obciach severnej časti Slovenského raja. </w:t>
      </w:r>
      <w:r w:rsidRPr="009D7450">
        <w:rPr>
          <w:b/>
          <w:bCs/>
          <w:i w:val="0"/>
          <w:color w:val="auto"/>
        </w:rPr>
        <w:t xml:space="preserve">Zdroj: </w:t>
      </w:r>
      <w:r w:rsidRPr="009D7450">
        <w:rPr>
          <w:b/>
          <w:i w:val="0"/>
          <w:color w:val="auto"/>
        </w:rPr>
        <w:t xml:space="preserve">vlastné spracovanie KRI, Košice, </w:t>
      </w:r>
      <w:r w:rsidRPr="009D7450">
        <w:rPr>
          <w:b/>
          <w:bCs/>
          <w:i w:val="0"/>
          <w:color w:val="auto"/>
        </w:rPr>
        <w:t xml:space="preserve">ŠÚ </w:t>
      </w:r>
      <w:r w:rsidRPr="009D7450">
        <w:rPr>
          <w:b/>
          <w:i w:val="0"/>
          <w:color w:val="auto"/>
        </w:rPr>
        <w:t>SR</w:t>
      </w:r>
      <w:r>
        <w:rPr>
          <w:b/>
          <w:i w:val="0"/>
          <w:color w:val="auto"/>
        </w:rPr>
        <w:t xml:space="preserve"> 2018.</w:t>
      </w:r>
    </w:p>
    <w:p w14:paraId="01451B1A" w14:textId="77777777" w:rsidR="006B5C79" w:rsidRDefault="006B5C79" w:rsidP="006B5C79">
      <w:pPr>
        <w:spacing w:after="200" w:line="276" w:lineRule="auto"/>
        <w:jc w:val="both"/>
        <w:rPr>
          <w:szCs w:val="24"/>
        </w:rPr>
      </w:pPr>
      <w:r>
        <w:rPr>
          <w:szCs w:val="24"/>
        </w:rPr>
        <w:t xml:space="preserve">Obyvateľstvo v obciach </w:t>
      </w:r>
      <w:r w:rsidRPr="009D7450">
        <w:rPr>
          <w:szCs w:val="24"/>
        </w:rPr>
        <w:t>severnej časti</w:t>
      </w:r>
      <w:r>
        <w:rPr>
          <w:szCs w:val="24"/>
        </w:rPr>
        <w:t xml:space="preserve"> Slovenského raja je zložené z </w:t>
      </w:r>
      <w:r w:rsidRPr="0015581D">
        <w:rPr>
          <w:b/>
          <w:i/>
          <w:szCs w:val="24"/>
        </w:rPr>
        <w:t>2</w:t>
      </w:r>
      <w:r>
        <w:rPr>
          <w:b/>
          <w:i/>
          <w:szCs w:val="24"/>
        </w:rPr>
        <w:t>2</w:t>
      </w:r>
      <w:r w:rsidRPr="0015581D">
        <w:rPr>
          <w:b/>
          <w:i/>
          <w:szCs w:val="24"/>
        </w:rPr>
        <w:t>%</w:t>
      </w:r>
      <w:r>
        <w:rPr>
          <w:szCs w:val="24"/>
        </w:rPr>
        <w:t xml:space="preserve"> ľudí v predproduktívnom veku (</w:t>
      </w:r>
      <w:r>
        <w:rPr>
          <w:b/>
          <w:i/>
          <w:szCs w:val="24"/>
        </w:rPr>
        <w:t>5 972</w:t>
      </w:r>
      <w:r>
        <w:rPr>
          <w:szCs w:val="24"/>
        </w:rPr>
        <w:t xml:space="preserve"> obyvateľov), </w:t>
      </w:r>
      <w:r w:rsidRPr="0015581D">
        <w:rPr>
          <w:b/>
          <w:i/>
          <w:szCs w:val="24"/>
        </w:rPr>
        <w:t>68%</w:t>
      </w:r>
      <w:r>
        <w:rPr>
          <w:szCs w:val="24"/>
        </w:rPr>
        <w:t xml:space="preserve"> ľudí v produktívnom veku (</w:t>
      </w:r>
      <w:r>
        <w:rPr>
          <w:b/>
          <w:i/>
          <w:szCs w:val="24"/>
        </w:rPr>
        <w:t>18 036</w:t>
      </w:r>
      <w:r>
        <w:rPr>
          <w:szCs w:val="24"/>
        </w:rPr>
        <w:t xml:space="preserve"> obyvateľov) a </w:t>
      </w:r>
      <w:r>
        <w:rPr>
          <w:b/>
          <w:i/>
          <w:szCs w:val="24"/>
        </w:rPr>
        <w:t>10</w:t>
      </w:r>
      <w:r w:rsidRPr="0015581D">
        <w:rPr>
          <w:b/>
          <w:i/>
          <w:szCs w:val="24"/>
        </w:rPr>
        <w:t>%</w:t>
      </w:r>
      <w:r>
        <w:rPr>
          <w:szCs w:val="24"/>
        </w:rPr>
        <w:t xml:space="preserve"> ľudí v poproduktívnom veku (</w:t>
      </w:r>
      <w:r>
        <w:rPr>
          <w:b/>
          <w:i/>
          <w:szCs w:val="24"/>
        </w:rPr>
        <w:t>2 707</w:t>
      </w:r>
      <w:r>
        <w:rPr>
          <w:szCs w:val="24"/>
        </w:rPr>
        <w:t xml:space="preserve"> obyvateľov). Medzi rokmi 2012 a 2016 stúpol počet obyvateľov najmä v produktívnom veku (+3,48%), ale aj poproduktívnom veku (+16,14%).</w:t>
      </w:r>
    </w:p>
    <w:tbl>
      <w:tblPr>
        <w:tblW w:w="5740" w:type="dxa"/>
        <w:tblCellMar>
          <w:left w:w="70" w:type="dxa"/>
          <w:right w:w="70" w:type="dxa"/>
        </w:tblCellMar>
        <w:tblLook w:val="04A0" w:firstRow="1" w:lastRow="0" w:firstColumn="1" w:lastColumn="0" w:noHBand="0" w:noVBand="1"/>
      </w:tblPr>
      <w:tblGrid>
        <w:gridCol w:w="2560"/>
        <w:gridCol w:w="1140"/>
        <w:gridCol w:w="1000"/>
        <w:gridCol w:w="1040"/>
      </w:tblGrid>
      <w:tr w:rsidR="006B5C79" w:rsidRPr="00B6784E" w14:paraId="647D2E4D" w14:textId="77777777" w:rsidTr="000029BC">
        <w:trPr>
          <w:trHeight w:val="480"/>
        </w:trPr>
        <w:tc>
          <w:tcPr>
            <w:tcW w:w="256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32D5E1B" w14:textId="77777777" w:rsidR="006B5C79" w:rsidRPr="00B6784E" w:rsidRDefault="006B5C79" w:rsidP="000029BC">
            <w:pPr>
              <w:spacing w:after="0" w:line="240" w:lineRule="auto"/>
              <w:rPr>
                <w:rFonts w:ascii="Calibri" w:eastAsia="Times New Roman" w:hAnsi="Calibri" w:cs="Times New Roman"/>
                <w:b/>
                <w:bCs/>
                <w:color w:val="000000"/>
                <w:sz w:val="18"/>
                <w:szCs w:val="18"/>
                <w:lang w:eastAsia="sk-SK"/>
              </w:rPr>
            </w:pPr>
            <w:r w:rsidRPr="00B6784E">
              <w:rPr>
                <w:rFonts w:ascii="Calibri" w:eastAsia="Times New Roman" w:hAnsi="Calibri" w:cs="Times New Roman"/>
                <w:b/>
                <w:bCs/>
                <w:color w:val="000000"/>
                <w:sz w:val="18"/>
                <w:szCs w:val="18"/>
                <w:lang w:eastAsia="sk-SK"/>
              </w:rPr>
              <w:t>Základné vekové skupiny podľa EU</w:t>
            </w:r>
          </w:p>
        </w:tc>
        <w:tc>
          <w:tcPr>
            <w:tcW w:w="1140" w:type="dxa"/>
            <w:tcBorders>
              <w:top w:val="single" w:sz="4" w:space="0" w:color="auto"/>
              <w:left w:val="nil"/>
              <w:bottom w:val="single" w:sz="4" w:space="0" w:color="auto"/>
              <w:right w:val="single" w:sz="4" w:space="0" w:color="auto"/>
            </w:tcBorders>
            <w:shd w:val="clear" w:color="000000" w:fill="BFBFBF"/>
            <w:vAlign w:val="center"/>
            <w:hideMark/>
          </w:tcPr>
          <w:p w14:paraId="0E800B5A" w14:textId="77777777" w:rsidR="006B5C79" w:rsidRPr="00B6784E" w:rsidRDefault="006B5C79" w:rsidP="000029BC">
            <w:pPr>
              <w:spacing w:after="0" w:line="240" w:lineRule="auto"/>
              <w:jc w:val="center"/>
              <w:rPr>
                <w:rFonts w:ascii="Calibri" w:eastAsia="Times New Roman" w:hAnsi="Calibri" w:cs="Times New Roman"/>
                <w:b/>
                <w:bCs/>
                <w:color w:val="000000"/>
                <w:sz w:val="18"/>
                <w:szCs w:val="18"/>
                <w:lang w:eastAsia="sk-SK"/>
              </w:rPr>
            </w:pPr>
            <w:r w:rsidRPr="00B6784E">
              <w:rPr>
                <w:rFonts w:ascii="Calibri" w:eastAsia="Times New Roman" w:hAnsi="Calibri" w:cs="Times New Roman"/>
                <w:b/>
                <w:bCs/>
                <w:color w:val="000000"/>
                <w:sz w:val="18"/>
                <w:szCs w:val="18"/>
                <w:lang w:eastAsia="sk-SK"/>
              </w:rPr>
              <w:t>2012</w:t>
            </w:r>
          </w:p>
        </w:tc>
        <w:tc>
          <w:tcPr>
            <w:tcW w:w="1000" w:type="dxa"/>
            <w:tcBorders>
              <w:top w:val="single" w:sz="4" w:space="0" w:color="auto"/>
              <w:left w:val="nil"/>
              <w:bottom w:val="single" w:sz="4" w:space="0" w:color="auto"/>
              <w:right w:val="single" w:sz="4" w:space="0" w:color="auto"/>
            </w:tcBorders>
            <w:shd w:val="clear" w:color="000000" w:fill="BFBFBF"/>
            <w:noWrap/>
            <w:vAlign w:val="center"/>
            <w:hideMark/>
          </w:tcPr>
          <w:p w14:paraId="61403CF5" w14:textId="77777777" w:rsidR="006B5C79" w:rsidRPr="00B6784E" w:rsidRDefault="006B5C79" w:rsidP="000029BC">
            <w:pPr>
              <w:spacing w:after="0" w:line="240" w:lineRule="auto"/>
              <w:jc w:val="center"/>
              <w:rPr>
                <w:rFonts w:ascii="Calibri" w:eastAsia="Times New Roman" w:hAnsi="Calibri" w:cs="Times New Roman"/>
                <w:color w:val="000000"/>
                <w:sz w:val="18"/>
                <w:szCs w:val="18"/>
                <w:lang w:eastAsia="sk-SK"/>
              </w:rPr>
            </w:pPr>
            <w:r w:rsidRPr="00B6784E">
              <w:rPr>
                <w:rFonts w:ascii="Calibri" w:eastAsia="Times New Roman" w:hAnsi="Calibri" w:cs="Times New Roman"/>
                <w:color w:val="000000"/>
                <w:sz w:val="18"/>
                <w:szCs w:val="18"/>
                <w:lang w:eastAsia="sk-SK"/>
              </w:rPr>
              <w:t>2016</w:t>
            </w:r>
          </w:p>
        </w:tc>
        <w:tc>
          <w:tcPr>
            <w:tcW w:w="1040" w:type="dxa"/>
            <w:tcBorders>
              <w:top w:val="single" w:sz="4" w:space="0" w:color="auto"/>
              <w:left w:val="nil"/>
              <w:bottom w:val="single" w:sz="4" w:space="0" w:color="auto"/>
              <w:right w:val="single" w:sz="4" w:space="0" w:color="auto"/>
            </w:tcBorders>
            <w:shd w:val="clear" w:color="000000" w:fill="BFBFBF"/>
            <w:noWrap/>
            <w:vAlign w:val="center"/>
            <w:hideMark/>
          </w:tcPr>
          <w:p w14:paraId="786F64DB" w14:textId="77777777" w:rsidR="006B5C79" w:rsidRPr="00B6784E" w:rsidRDefault="006B5C79" w:rsidP="000029BC">
            <w:pPr>
              <w:spacing w:after="0" w:line="240" w:lineRule="auto"/>
              <w:jc w:val="center"/>
              <w:rPr>
                <w:rFonts w:ascii="Calibri" w:eastAsia="Times New Roman" w:hAnsi="Calibri" w:cs="Times New Roman"/>
                <w:color w:val="000000"/>
                <w:sz w:val="18"/>
                <w:szCs w:val="18"/>
                <w:lang w:eastAsia="sk-SK"/>
              </w:rPr>
            </w:pPr>
            <w:r w:rsidRPr="00B6784E">
              <w:rPr>
                <w:rFonts w:ascii="Calibri" w:eastAsia="Times New Roman" w:hAnsi="Calibri" w:cs="Times New Roman"/>
                <w:color w:val="000000"/>
                <w:sz w:val="18"/>
                <w:szCs w:val="18"/>
                <w:lang w:eastAsia="sk-SK"/>
              </w:rPr>
              <w:t>rozdiel</w:t>
            </w:r>
          </w:p>
        </w:tc>
      </w:tr>
      <w:tr w:rsidR="006B5C79" w:rsidRPr="00B6784E" w14:paraId="3EA7C13C" w14:textId="77777777" w:rsidTr="000029BC">
        <w:trPr>
          <w:trHeight w:val="405"/>
        </w:trPr>
        <w:tc>
          <w:tcPr>
            <w:tcW w:w="2560" w:type="dxa"/>
            <w:tcBorders>
              <w:top w:val="nil"/>
              <w:left w:val="single" w:sz="4" w:space="0" w:color="auto"/>
              <w:bottom w:val="single" w:sz="4" w:space="0" w:color="auto"/>
              <w:right w:val="single" w:sz="4" w:space="0" w:color="auto"/>
            </w:tcBorders>
            <w:shd w:val="clear" w:color="000000" w:fill="BFBFBF"/>
            <w:vAlign w:val="center"/>
            <w:hideMark/>
          </w:tcPr>
          <w:p w14:paraId="31662CD8" w14:textId="77777777" w:rsidR="006B5C79" w:rsidRPr="00B6784E" w:rsidRDefault="006B5C79" w:rsidP="000029BC">
            <w:pPr>
              <w:spacing w:after="0" w:line="240" w:lineRule="auto"/>
              <w:rPr>
                <w:rFonts w:ascii="Calibri" w:eastAsia="Times New Roman" w:hAnsi="Calibri" w:cs="Times New Roman"/>
                <w:b/>
                <w:bCs/>
                <w:color w:val="000000"/>
                <w:sz w:val="18"/>
                <w:szCs w:val="18"/>
                <w:lang w:eastAsia="sk-SK"/>
              </w:rPr>
            </w:pPr>
            <w:r w:rsidRPr="00B6784E">
              <w:rPr>
                <w:rFonts w:ascii="Calibri" w:eastAsia="Times New Roman" w:hAnsi="Calibri" w:cs="Times New Roman"/>
                <w:b/>
                <w:bCs/>
                <w:color w:val="000000"/>
                <w:sz w:val="18"/>
                <w:szCs w:val="18"/>
                <w:lang w:eastAsia="sk-SK"/>
              </w:rPr>
              <w:t>Predproduktívny vek - (0 - 14)</w:t>
            </w:r>
          </w:p>
        </w:tc>
        <w:tc>
          <w:tcPr>
            <w:tcW w:w="1140" w:type="dxa"/>
            <w:tcBorders>
              <w:top w:val="nil"/>
              <w:left w:val="nil"/>
              <w:bottom w:val="single" w:sz="4" w:space="0" w:color="auto"/>
              <w:right w:val="single" w:sz="4" w:space="0" w:color="auto"/>
            </w:tcBorders>
            <w:shd w:val="clear" w:color="auto" w:fill="auto"/>
            <w:noWrap/>
            <w:vAlign w:val="center"/>
            <w:hideMark/>
          </w:tcPr>
          <w:p w14:paraId="37D33163" w14:textId="77777777" w:rsidR="006B5C79" w:rsidRPr="00B6784E" w:rsidRDefault="006B5C79" w:rsidP="000029BC">
            <w:pPr>
              <w:spacing w:after="0" w:line="240" w:lineRule="auto"/>
              <w:jc w:val="center"/>
              <w:rPr>
                <w:rFonts w:ascii="Calibri" w:eastAsia="Times New Roman" w:hAnsi="Calibri" w:cs="Times New Roman"/>
                <w:color w:val="000000"/>
                <w:sz w:val="20"/>
                <w:szCs w:val="20"/>
                <w:lang w:eastAsia="sk-SK"/>
              </w:rPr>
            </w:pPr>
            <w:r w:rsidRPr="00B6784E">
              <w:rPr>
                <w:rFonts w:ascii="Calibri" w:eastAsia="Times New Roman" w:hAnsi="Calibri" w:cs="Times New Roman"/>
                <w:color w:val="000000"/>
                <w:sz w:val="20"/>
                <w:szCs w:val="20"/>
                <w:lang w:eastAsia="sk-SK"/>
              </w:rPr>
              <w:t>2 001</w:t>
            </w:r>
          </w:p>
        </w:tc>
        <w:tc>
          <w:tcPr>
            <w:tcW w:w="1000" w:type="dxa"/>
            <w:tcBorders>
              <w:top w:val="nil"/>
              <w:left w:val="nil"/>
              <w:bottom w:val="single" w:sz="4" w:space="0" w:color="auto"/>
              <w:right w:val="single" w:sz="4" w:space="0" w:color="auto"/>
            </w:tcBorders>
            <w:shd w:val="clear" w:color="auto" w:fill="auto"/>
            <w:vAlign w:val="center"/>
            <w:hideMark/>
          </w:tcPr>
          <w:p w14:paraId="3C1A716A" w14:textId="77777777" w:rsidR="006B5C79" w:rsidRPr="00B6784E" w:rsidRDefault="006B5C79" w:rsidP="000029BC">
            <w:pPr>
              <w:spacing w:after="0" w:line="240" w:lineRule="auto"/>
              <w:jc w:val="center"/>
              <w:rPr>
                <w:rFonts w:ascii="Calibri" w:eastAsia="Times New Roman" w:hAnsi="Calibri" w:cs="Times New Roman"/>
                <w:color w:val="000000"/>
                <w:sz w:val="20"/>
                <w:szCs w:val="20"/>
                <w:lang w:eastAsia="sk-SK"/>
              </w:rPr>
            </w:pPr>
            <w:r w:rsidRPr="00B6784E">
              <w:rPr>
                <w:rFonts w:ascii="Calibri" w:eastAsia="Times New Roman" w:hAnsi="Calibri" w:cs="Times New Roman"/>
                <w:color w:val="000000"/>
                <w:sz w:val="20"/>
                <w:szCs w:val="20"/>
                <w:lang w:eastAsia="sk-SK"/>
              </w:rPr>
              <w:t>1 917</w:t>
            </w:r>
          </w:p>
        </w:tc>
        <w:tc>
          <w:tcPr>
            <w:tcW w:w="1040" w:type="dxa"/>
            <w:tcBorders>
              <w:top w:val="nil"/>
              <w:left w:val="nil"/>
              <w:bottom w:val="single" w:sz="4" w:space="0" w:color="auto"/>
              <w:right w:val="single" w:sz="4" w:space="0" w:color="auto"/>
            </w:tcBorders>
            <w:shd w:val="clear" w:color="auto" w:fill="auto"/>
            <w:noWrap/>
            <w:vAlign w:val="center"/>
            <w:hideMark/>
          </w:tcPr>
          <w:p w14:paraId="5D7DD02A" w14:textId="77777777" w:rsidR="006B5C79" w:rsidRPr="00B6784E" w:rsidRDefault="006B5C79" w:rsidP="000029BC">
            <w:pPr>
              <w:spacing w:after="0" w:line="240" w:lineRule="auto"/>
              <w:jc w:val="center"/>
              <w:rPr>
                <w:rFonts w:ascii="Calibri" w:eastAsia="Times New Roman" w:hAnsi="Calibri" w:cs="Times New Roman"/>
                <w:color w:val="000000"/>
                <w:sz w:val="18"/>
                <w:szCs w:val="18"/>
                <w:lang w:eastAsia="sk-SK"/>
              </w:rPr>
            </w:pPr>
            <w:r w:rsidRPr="00B6784E">
              <w:rPr>
                <w:rFonts w:ascii="Calibri" w:eastAsia="Times New Roman" w:hAnsi="Calibri" w:cs="Times New Roman"/>
                <w:color w:val="000000"/>
                <w:sz w:val="18"/>
                <w:szCs w:val="18"/>
                <w:lang w:eastAsia="sk-SK"/>
              </w:rPr>
              <w:t>-4,38%</w:t>
            </w:r>
          </w:p>
        </w:tc>
      </w:tr>
      <w:tr w:rsidR="006B5C79" w:rsidRPr="00B6784E" w14:paraId="48514FFE" w14:textId="77777777" w:rsidTr="000029BC">
        <w:trPr>
          <w:trHeight w:val="405"/>
        </w:trPr>
        <w:tc>
          <w:tcPr>
            <w:tcW w:w="2560" w:type="dxa"/>
            <w:tcBorders>
              <w:top w:val="nil"/>
              <w:left w:val="single" w:sz="4" w:space="0" w:color="auto"/>
              <w:bottom w:val="single" w:sz="4" w:space="0" w:color="auto"/>
              <w:right w:val="single" w:sz="4" w:space="0" w:color="auto"/>
            </w:tcBorders>
            <w:shd w:val="clear" w:color="000000" w:fill="BFBFBF"/>
            <w:vAlign w:val="center"/>
            <w:hideMark/>
          </w:tcPr>
          <w:p w14:paraId="44ACFCCE" w14:textId="77777777" w:rsidR="006B5C79" w:rsidRPr="00B6784E" w:rsidRDefault="006B5C79" w:rsidP="000029BC">
            <w:pPr>
              <w:spacing w:after="0" w:line="240" w:lineRule="auto"/>
              <w:rPr>
                <w:rFonts w:ascii="Calibri" w:eastAsia="Times New Roman" w:hAnsi="Calibri" w:cs="Times New Roman"/>
                <w:b/>
                <w:bCs/>
                <w:color w:val="000000"/>
                <w:sz w:val="18"/>
                <w:szCs w:val="18"/>
                <w:lang w:eastAsia="sk-SK"/>
              </w:rPr>
            </w:pPr>
            <w:r w:rsidRPr="00B6784E">
              <w:rPr>
                <w:rFonts w:ascii="Calibri" w:eastAsia="Times New Roman" w:hAnsi="Calibri" w:cs="Times New Roman"/>
                <w:b/>
                <w:bCs/>
                <w:color w:val="000000"/>
                <w:sz w:val="18"/>
                <w:szCs w:val="18"/>
                <w:lang w:eastAsia="sk-SK"/>
              </w:rPr>
              <w:t>Produktívny vek - (15 - 64)</w:t>
            </w:r>
          </w:p>
        </w:tc>
        <w:tc>
          <w:tcPr>
            <w:tcW w:w="1140" w:type="dxa"/>
            <w:tcBorders>
              <w:top w:val="nil"/>
              <w:left w:val="nil"/>
              <w:bottom w:val="single" w:sz="4" w:space="0" w:color="auto"/>
              <w:right w:val="single" w:sz="4" w:space="0" w:color="auto"/>
            </w:tcBorders>
            <w:shd w:val="clear" w:color="auto" w:fill="auto"/>
            <w:noWrap/>
            <w:vAlign w:val="center"/>
            <w:hideMark/>
          </w:tcPr>
          <w:p w14:paraId="3B6B34CA" w14:textId="77777777" w:rsidR="006B5C79" w:rsidRPr="00B6784E" w:rsidRDefault="006B5C79" w:rsidP="000029BC">
            <w:pPr>
              <w:spacing w:after="0" w:line="240" w:lineRule="auto"/>
              <w:jc w:val="center"/>
              <w:rPr>
                <w:rFonts w:ascii="Calibri" w:eastAsia="Times New Roman" w:hAnsi="Calibri" w:cs="Times New Roman"/>
                <w:color w:val="000000"/>
                <w:sz w:val="20"/>
                <w:szCs w:val="20"/>
                <w:lang w:eastAsia="sk-SK"/>
              </w:rPr>
            </w:pPr>
            <w:r w:rsidRPr="00B6784E">
              <w:rPr>
                <w:rFonts w:ascii="Calibri" w:eastAsia="Times New Roman" w:hAnsi="Calibri" w:cs="Times New Roman"/>
                <w:color w:val="000000"/>
                <w:sz w:val="20"/>
                <w:szCs w:val="20"/>
                <w:lang w:eastAsia="sk-SK"/>
              </w:rPr>
              <w:t>6 163</w:t>
            </w:r>
          </w:p>
        </w:tc>
        <w:tc>
          <w:tcPr>
            <w:tcW w:w="1000" w:type="dxa"/>
            <w:tcBorders>
              <w:top w:val="nil"/>
              <w:left w:val="nil"/>
              <w:bottom w:val="single" w:sz="4" w:space="0" w:color="auto"/>
              <w:right w:val="single" w:sz="4" w:space="0" w:color="auto"/>
            </w:tcBorders>
            <w:shd w:val="clear" w:color="auto" w:fill="auto"/>
            <w:vAlign w:val="center"/>
            <w:hideMark/>
          </w:tcPr>
          <w:p w14:paraId="1AD50DF0" w14:textId="77777777" w:rsidR="006B5C79" w:rsidRPr="00B6784E" w:rsidRDefault="006B5C79" w:rsidP="000029BC">
            <w:pPr>
              <w:spacing w:after="0" w:line="240" w:lineRule="auto"/>
              <w:jc w:val="center"/>
              <w:rPr>
                <w:rFonts w:ascii="Calibri" w:eastAsia="Times New Roman" w:hAnsi="Calibri" w:cs="Times New Roman"/>
                <w:color w:val="000000"/>
                <w:sz w:val="20"/>
                <w:szCs w:val="20"/>
                <w:lang w:eastAsia="sk-SK"/>
              </w:rPr>
            </w:pPr>
            <w:r w:rsidRPr="00B6784E">
              <w:rPr>
                <w:rFonts w:ascii="Calibri" w:eastAsia="Times New Roman" w:hAnsi="Calibri" w:cs="Times New Roman"/>
                <w:color w:val="000000"/>
                <w:sz w:val="20"/>
                <w:szCs w:val="20"/>
                <w:lang w:eastAsia="sk-SK"/>
              </w:rPr>
              <w:t>5 825</w:t>
            </w:r>
          </w:p>
        </w:tc>
        <w:tc>
          <w:tcPr>
            <w:tcW w:w="1040" w:type="dxa"/>
            <w:tcBorders>
              <w:top w:val="nil"/>
              <w:left w:val="nil"/>
              <w:bottom w:val="single" w:sz="4" w:space="0" w:color="auto"/>
              <w:right w:val="single" w:sz="4" w:space="0" w:color="auto"/>
            </w:tcBorders>
            <w:shd w:val="clear" w:color="auto" w:fill="auto"/>
            <w:noWrap/>
            <w:vAlign w:val="center"/>
            <w:hideMark/>
          </w:tcPr>
          <w:p w14:paraId="7A8480E2" w14:textId="77777777" w:rsidR="006B5C79" w:rsidRPr="00B6784E" w:rsidRDefault="006B5C79" w:rsidP="000029BC">
            <w:pPr>
              <w:spacing w:after="0" w:line="240" w:lineRule="auto"/>
              <w:jc w:val="center"/>
              <w:rPr>
                <w:rFonts w:ascii="Calibri" w:eastAsia="Times New Roman" w:hAnsi="Calibri" w:cs="Times New Roman"/>
                <w:color w:val="000000"/>
                <w:sz w:val="18"/>
                <w:szCs w:val="18"/>
                <w:lang w:eastAsia="sk-SK"/>
              </w:rPr>
            </w:pPr>
            <w:r w:rsidRPr="00B6784E">
              <w:rPr>
                <w:rFonts w:ascii="Calibri" w:eastAsia="Times New Roman" w:hAnsi="Calibri" w:cs="Times New Roman"/>
                <w:color w:val="000000"/>
                <w:sz w:val="18"/>
                <w:szCs w:val="18"/>
                <w:lang w:eastAsia="sk-SK"/>
              </w:rPr>
              <w:t>-5,80%</w:t>
            </w:r>
          </w:p>
        </w:tc>
      </w:tr>
      <w:tr w:rsidR="006B5C79" w:rsidRPr="00B6784E" w14:paraId="513673DE" w14:textId="77777777" w:rsidTr="000029BC">
        <w:trPr>
          <w:trHeight w:val="405"/>
        </w:trPr>
        <w:tc>
          <w:tcPr>
            <w:tcW w:w="2560" w:type="dxa"/>
            <w:tcBorders>
              <w:top w:val="nil"/>
              <w:left w:val="single" w:sz="4" w:space="0" w:color="auto"/>
              <w:bottom w:val="single" w:sz="4" w:space="0" w:color="auto"/>
              <w:right w:val="single" w:sz="4" w:space="0" w:color="auto"/>
            </w:tcBorders>
            <w:shd w:val="clear" w:color="000000" w:fill="BFBFBF"/>
            <w:vAlign w:val="center"/>
            <w:hideMark/>
          </w:tcPr>
          <w:p w14:paraId="7276A0B5" w14:textId="77777777" w:rsidR="006B5C79" w:rsidRPr="00B6784E" w:rsidRDefault="006B5C79" w:rsidP="000029BC">
            <w:pPr>
              <w:spacing w:after="0" w:line="240" w:lineRule="auto"/>
              <w:rPr>
                <w:rFonts w:ascii="Calibri" w:eastAsia="Times New Roman" w:hAnsi="Calibri" w:cs="Times New Roman"/>
                <w:b/>
                <w:bCs/>
                <w:color w:val="000000"/>
                <w:sz w:val="18"/>
                <w:szCs w:val="18"/>
                <w:lang w:eastAsia="sk-SK"/>
              </w:rPr>
            </w:pPr>
            <w:r w:rsidRPr="00B6784E">
              <w:rPr>
                <w:rFonts w:ascii="Calibri" w:eastAsia="Times New Roman" w:hAnsi="Calibri" w:cs="Times New Roman"/>
                <w:b/>
                <w:bCs/>
                <w:color w:val="000000"/>
                <w:sz w:val="18"/>
                <w:szCs w:val="18"/>
                <w:lang w:eastAsia="sk-SK"/>
              </w:rPr>
              <w:t>Poproduktívny vek – (65 - 100+)</w:t>
            </w:r>
          </w:p>
        </w:tc>
        <w:tc>
          <w:tcPr>
            <w:tcW w:w="1140" w:type="dxa"/>
            <w:tcBorders>
              <w:top w:val="nil"/>
              <w:left w:val="nil"/>
              <w:bottom w:val="single" w:sz="4" w:space="0" w:color="auto"/>
              <w:right w:val="single" w:sz="4" w:space="0" w:color="auto"/>
            </w:tcBorders>
            <w:shd w:val="clear" w:color="auto" w:fill="auto"/>
            <w:noWrap/>
            <w:vAlign w:val="center"/>
            <w:hideMark/>
          </w:tcPr>
          <w:p w14:paraId="4C002D00" w14:textId="77777777" w:rsidR="006B5C79" w:rsidRPr="00B6784E" w:rsidRDefault="006B5C79" w:rsidP="000029BC">
            <w:pPr>
              <w:spacing w:after="0" w:line="240" w:lineRule="auto"/>
              <w:jc w:val="center"/>
              <w:rPr>
                <w:rFonts w:ascii="Calibri" w:eastAsia="Times New Roman" w:hAnsi="Calibri" w:cs="Times New Roman"/>
                <w:color w:val="000000"/>
                <w:sz w:val="20"/>
                <w:szCs w:val="20"/>
                <w:lang w:eastAsia="sk-SK"/>
              </w:rPr>
            </w:pPr>
            <w:r w:rsidRPr="00B6784E">
              <w:rPr>
                <w:rFonts w:ascii="Calibri" w:eastAsia="Times New Roman" w:hAnsi="Calibri" w:cs="Times New Roman"/>
                <w:color w:val="000000"/>
                <w:sz w:val="20"/>
                <w:szCs w:val="20"/>
                <w:lang w:eastAsia="sk-SK"/>
              </w:rPr>
              <w:t>1 078</w:t>
            </w:r>
          </w:p>
        </w:tc>
        <w:tc>
          <w:tcPr>
            <w:tcW w:w="1000" w:type="dxa"/>
            <w:tcBorders>
              <w:top w:val="nil"/>
              <w:left w:val="nil"/>
              <w:bottom w:val="single" w:sz="4" w:space="0" w:color="auto"/>
              <w:right w:val="single" w:sz="4" w:space="0" w:color="auto"/>
            </w:tcBorders>
            <w:shd w:val="clear" w:color="auto" w:fill="auto"/>
            <w:vAlign w:val="center"/>
            <w:hideMark/>
          </w:tcPr>
          <w:p w14:paraId="3DCB2C8C" w14:textId="77777777" w:rsidR="006B5C79" w:rsidRPr="00B6784E" w:rsidRDefault="006B5C79" w:rsidP="000029BC">
            <w:pPr>
              <w:spacing w:after="0" w:line="240" w:lineRule="auto"/>
              <w:jc w:val="center"/>
              <w:rPr>
                <w:rFonts w:ascii="Calibri" w:eastAsia="Times New Roman" w:hAnsi="Calibri" w:cs="Times New Roman"/>
                <w:color w:val="000000"/>
                <w:sz w:val="20"/>
                <w:szCs w:val="20"/>
                <w:lang w:eastAsia="sk-SK"/>
              </w:rPr>
            </w:pPr>
            <w:r w:rsidRPr="00B6784E">
              <w:rPr>
                <w:rFonts w:ascii="Calibri" w:eastAsia="Times New Roman" w:hAnsi="Calibri" w:cs="Times New Roman"/>
                <w:color w:val="000000"/>
                <w:sz w:val="20"/>
                <w:szCs w:val="20"/>
                <w:lang w:eastAsia="sk-SK"/>
              </w:rPr>
              <w:t>1 057</w:t>
            </w:r>
          </w:p>
        </w:tc>
        <w:tc>
          <w:tcPr>
            <w:tcW w:w="1040" w:type="dxa"/>
            <w:tcBorders>
              <w:top w:val="nil"/>
              <w:left w:val="nil"/>
              <w:bottom w:val="single" w:sz="4" w:space="0" w:color="auto"/>
              <w:right w:val="single" w:sz="4" w:space="0" w:color="auto"/>
            </w:tcBorders>
            <w:shd w:val="clear" w:color="auto" w:fill="auto"/>
            <w:noWrap/>
            <w:vAlign w:val="center"/>
            <w:hideMark/>
          </w:tcPr>
          <w:p w14:paraId="3678BEA4" w14:textId="77777777" w:rsidR="006B5C79" w:rsidRPr="00B6784E" w:rsidRDefault="006B5C79" w:rsidP="000029BC">
            <w:pPr>
              <w:spacing w:after="0" w:line="240" w:lineRule="auto"/>
              <w:jc w:val="center"/>
              <w:rPr>
                <w:rFonts w:ascii="Calibri" w:eastAsia="Times New Roman" w:hAnsi="Calibri" w:cs="Times New Roman"/>
                <w:color w:val="000000"/>
                <w:sz w:val="18"/>
                <w:szCs w:val="18"/>
                <w:lang w:eastAsia="sk-SK"/>
              </w:rPr>
            </w:pPr>
            <w:r w:rsidRPr="00B6784E">
              <w:rPr>
                <w:rFonts w:ascii="Calibri" w:eastAsia="Times New Roman" w:hAnsi="Calibri" w:cs="Times New Roman"/>
                <w:color w:val="000000"/>
                <w:sz w:val="18"/>
                <w:szCs w:val="18"/>
                <w:lang w:eastAsia="sk-SK"/>
              </w:rPr>
              <w:t>-1,99%</w:t>
            </w:r>
          </w:p>
        </w:tc>
      </w:tr>
      <w:tr w:rsidR="006B5C79" w:rsidRPr="00B6784E" w14:paraId="59A6F480" w14:textId="77777777" w:rsidTr="000029BC">
        <w:trPr>
          <w:trHeight w:val="405"/>
        </w:trPr>
        <w:tc>
          <w:tcPr>
            <w:tcW w:w="2560" w:type="dxa"/>
            <w:tcBorders>
              <w:top w:val="nil"/>
              <w:left w:val="single" w:sz="4" w:space="0" w:color="auto"/>
              <w:bottom w:val="single" w:sz="4" w:space="0" w:color="auto"/>
              <w:right w:val="single" w:sz="4" w:space="0" w:color="auto"/>
            </w:tcBorders>
            <w:shd w:val="clear" w:color="000000" w:fill="BFBFBF"/>
            <w:vAlign w:val="center"/>
            <w:hideMark/>
          </w:tcPr>
          <w:p w14:paraId="3107E0C5" w14:textId="77777777" w:rsidR="006B5C79" w:rsidRPr="00B6784E" w:rsidRDefault="006B5C79" w:rsidP="000029BC">
            <w:pPr>
              <w:spacing w:after="0" w:line="240" w:lineRule="auto"/>
              <w:rPr>
                <w:rFonts w:ascii="Calibri" w:eastAsia="Times New Roman" w:hAnsi="Calibri" w:cs="Times New Roman"/>
                <w:b/>
                <w:bCs/>
                <w:color w:val="000000"/>
                <w:sz w:val="18"/>
                <w:szCs w:val="18"/>
                <w:lang w:eastAsia="sk-SK"/>
              </w:rPr>
            </w:pPr>
            <w:r w:rsidRPr="00B6784E">
              <w:rPr>
                <w:rFonts w:ascii="Calibri" w:eastAsia="Times New Roman" w:hAnsi="Calibri" w:cs="Times New Roman"/>
                <w:b/>
                <w:bCs/>
                <w:color w:val="000000"/>
                <w:sz w:val="18"/>
                <w:szCs w:val="18"/>
                <w:lang w:eastAsia="sk-SK"/>
              </w:rPr>
              <w:t>Celkom</w:t>
            </w:r>
          </w:p>
        </w:tc>
        <w:tc>
          <w:tcPr>
            <w:tcW w:w="1140" w:type="dxa"/>
            <w:tcBorders>
              <w:top w:val="nil"/>
              <w:left w:val="nil"/>
              <w:bottom w:val="single" w:sz="4" w:space="0" w:color="auto"/>
              <w:right w:val="single" w:sz="4" w:space="0" w:color="auto"/>
            </w:tcBorders>
            <w:shd w:val="clear" w:color="auto" w:fill="auto"/>
            <w:noWrap/>
            <w:vAlign w:val="center"/>
            <w:hideMark/>
          </w:tcPr>
          <w:p w14:paraId="1646A63B" w14:textId="77777777" w:rsidR="006B5C79" w:rsidRPr="00B6784E" w:rsidRDefault="006B5C79" w:rsidP="000029BC">
            <w:pPr>
              <w:spacing w:after="0" w:line="240" w:lineRule="auto"/>
              <w:jc w:val="center"/>
              <w:rPr>
                <w:rFonts w:ascii="Calibri" w:eastAsia="Times New Roman" w:hAnsi="Calibri" w:cs="Times New Roman"/>
                <w:color w:val="000000"/>
                <w:sz w:val="20"/>
                <w:szCs w:val="20"/>
                <w:lang w:eastAsia="sk-SK"/>
              </w:rPr>
            </w:pPr>
            <w:r w:rsidRPr="00B6784E">
              <w:rPr>
                <w:rFonts w:ascii="Calibri" w:eastAsia="Times New Roman" w:hAnsi="Calibri" w:cs="Times New Roman"/>
                <w:color w:val="000000"/>
                <w:sz w:val="20"/>
                <w:szCs w:val="20"/>
                <w:lang w:eastAsia="sk-SK"/>
              </w:rPr>
              <w:t>9 242</w:t>
            </w:r>
          </w:p>
        </w:tc>
        <w:tc>
          <w:tcPr>
            <w:tcW w:w="1000" w:type="dxa"/>
            <w:tcBorders>
              <w:top w:val="nil"/>
              <w:left w:val="nil"/>
              <w:bottom w:val="single" w:sz="4" w:space="0" w:color="auto"/>
              <w:right w:val="single" w:sz="4" w:space="0" w:color="auto"/>
            </w:tcBorders>
            <w:shd w:val="clear" w:color="auto" w:fill="auto"/>
            <w:vAlign w:val="center"/>
            <w:hideMark/>
          </w:tcPr>
          <w:p w14:paraId="2F63F5E8" w14:textId="77777777" w:rsidR="006B5C79" w:rsidRPr="00B6784E" w:rsidRDefault="006B5C79" w:rsidP="000029BC">
            <w:pPr>
              <w:spacing w:after="0" w:line="240" w:lineRule="auto"/>
              <w:jc w:val="center"/>
              <w:rPr>
                <w:rFonts w:ascii="Calibri" w:eastAsia="Times New Roman" w:hAnsi="Calibri" w:cs="Times New Roman"/>
                <w:color w:val="000000"/>
                <w:sz w:val="20"/>
                <w:szCs w:val="20"/>
                <w:lang w:eastAsia="sk-SK"/>
              </w:rPr>
            </w:pPr>
            <w:r w:rsidRPr="00B6784E">
              <w:rPr>
                <w:rFonts w:ascii="Calibri" w:eastAsia="Times New Roman" w:hAnsi="Calibri" w:cs="Times New Roman"/>
                <w:color w:val="000000"/>
                <w:sz w:val="20"/>
                <w:szCs w:val="20"/>
                <w:lang w:eastAsia="sk-SK"/>
              </w:rPr>
              <w:t>8 799</w:t>
            </w:r>
          </w:p>
        </w:tc>
        <w:tc>
          <w:tcPr>
            <w:tcW w:w="1040" w:type="dxa"/>
            <w:tcBorders>
              <w:top w:val="nil"/>
              <w:left w:val="nil"/>
              <w:bottom w:val="single" w:sz="4" w:space="0" w:color="auto"/>
              <w:right w:val="single" w:sz="4" w:space="0" w:color="auto"/>
            </w:tcBorders>
            <w:shd w:val="clear" w:color="auto" w:fill="auto"/>
            <w:noWrap/>
            <w:vAlign w:val="center"/>
            <w:hideMark/>
          </w:tcPr>
          <w:p w14:paraId="28DDA245" w14:textId="77777777" w:rsidR="006B5C79" w:rsidRPr="00B6784E" w:rsidRDefault="006B5C79" w:rsidP="000029BC">
            <w:pPr>
              <w:keepNext/>
              <w:spacing w:after="0" w:line="240" w:lineRule="auto"/>
              <w:jc w:val="center"/>
              <w:rPr>
                <w:rFonts w:ascii="Calibri" w:eastAsia="Times New Roman" w:hAnsi="Calibri" w:cs="Times New Roman"/>
                <w:color w:val="000000"/>
                <w:sz w:val="18"/>
                <w:szCs w:val="18"/>
                <w:lang w:eastAsia="sk-SK"/>
              </w:rPr>
            </w:pPr>
            <w:r w:rsidRPr="00B6784E">
              <w:rPr>
                <w:rFonts w:ascii="Calibri" w:eastAsia="Times New Roman" w:hAnsi="Calibri" w:cs="Times New Roman"/>
                <w:color w:val="000000"/>
                <w:sz w:val="18"/>
                <w:szCs w:val="18"/>
                <w:lang w:eastAsia="sk-SK"/>
              </w:rPr>
              <w:t>-5,03%</w:t>
            </w:r>
          </w:p>
        </w:tc>
      </w:tr>
    </w:tbl>
    <w:p w14:paraId="74FEBE9E" w14:textId="05D521BF" w:rsidR="006B5C79" w:rsidRDefault="006B5C79" w:rsidP="006B5C79">
      <w:pPr>
        <w:pStyle w:val="Popis"/>
        <w:rPr>
          <w:b/>
          <w:i w:val="0"/>
          <w:color w:val="auto"/>
        </w:rPr>
      </w:pPr>
      <w:r w:rsidRPr="00871622">
        <w:rPr>
          <w:b/>
          <w:i w:val="0"/>
          <w:color w:val="auto"/>
        </w:rPr>
        <w:t xml:space="preserve">Tabuľka </w:t>
      </w:r>
      <w:r w:rsidR="00FF36C8">
        <w:rPr>
          <w:b/>
          <w:i w:val="0"/>
          <w:color w:val="auto"/>
        </w:rPr>
        <w:fldChar w:fldCharType="begin"/>
      </w:r>
      <w:r w:rsidR="00FF36C8">
        <w:rPr>
          <w:b/>
          <w:i w:val="0"/>
          <w:color w:val="auto"/>
        </w:rPr>
        <w:instrText xml:space="preserve"> SEQ Tabuľka \* ARABIC </w:instrText>
      </w:r>
      <w:r w:rsidR="00FF36C8">
        <w:rPr>
          <w:b/>
          <w:i w:val="0"/>
          <w:color w:val="auto"/>
        </w:rPr>
        <w:fldChar w:fldCharType="separate"/>
      </w:r>
      <w:r w:rsidR="00FF36C8">
        <w:rPr>
          <w:b/>
          <w:i w:val="0"/>
          <w:noProof/>
          <w:color w:val="auto"/>
        </w:rPr>
        <w:t>4</w:t>
      </w:r>
      <w:r w:rsidR="00FF36C8">
        <w:rPr>
          <w:b/>
          <w:i w:val="0"/>
          <w:color w:val="auto"/>
        </w:rPr>
        <w:fldChar w:fldCharType="end"/>
      </w:r>
      <w:r w:rsidRPr="00871622">
        <w:rPr>
          <w:b/>
          <w:i w:val="0"/>
          <w:color w:val="auto"/>
        </w:rPr>
        <w:t>. Veková štruktúra obyvateľov v obciach južnej časti Slovenského raja a rozdiel medzi dvoma obdobiami. Zdroj: vlastné spracovanie KRI,  ŠÚ SR 2018.</w:t>
      </w:r>
    </w:p>
    <w:p w14:paraId="6BE3B7B8" w14:textId="77777777" w:rsidR="006B5C79" w:rsidRPr="001C68C2" w:rsidRDefault="006B5C79" w:rsidP="006B5C79"/>
    <w:p w14:paraId="1A0C05A8" w14:textId="77777777" w:rsidR="006B5C79" w:rsidRDefault="006B5C79" w:rsidP="006B5C79">
      <w:pPr>
        <w:keepNext/>
        <w:spacing w:line="276" w:lineRule="auto"/>
      </w:pPr>
      <w:r w:rsidRPr="00AF6C12">
        <w:rPr>
          <w:szCs w:val="24"/>
        </w:rPr>
        <w:t>   </w:t>
      </w:r>
      <w:r>
        <w:rPr>
          <w:noProof/>
          <w:lang w:val="en-GB" w:eastAsia="en-GB"/>
        </w:rPr>
        <w:drawing>
          <wp:inline distT="0" distB="0" distL="0" distR="0" wp14:anchorId="2D682B7A" wp14:editId="26D24DFC">
            <wp:extent cx="2886075" cy="2209800"/>
            <wp:effectExtent l="0" t="0" r="9525" b="0"/>
            <wp:docPr id="11" name="Graf 11">
              <a:extLst xmlns:a="http://schemas.openxmlformats.org/drawingml/2006/main">
                <a:ext uri="{FF2B5EF4-FFF2-40B4-BE49-F238E27FC236}">
                  <a16:creationId xmlns:a16="http://schemas.microsoft.com/office/drawing/2014/main" id="{5844A0C1-61E3-494F-A0AB-F9DD1FA246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A41C297" w14:textId="395E0FF7" w:rsidR="006B5C79" w:rsidRPr="00F84ECA" w:rsidRDefault="006B5C79" w:rsidP="006B5C79">
      <w:pPr>
        <w:pStyle w:val="Popis"/>
        <w:spacing w:line="276" w:lineRule="auto"/>
        <w:rPr>
          <w:b/>
          <w:i w:val="0"/>
        </w:rPr>
      </w:pPr>
      <w:r w:rsidRPr="00CA2753">
        <w:rPr>
          <w:b/>
          <w:i w:val="0"/>
          <w:color w:val="auto"/>
        </w:rPr>
        <w:t xml:space="preserve">Graf </w:t>
      </w:r>
      <w:r w:rsidRPr="00CA2753">
        <w:rPr>
          <w:b/>
          <w:i w:val="0"/>
          <w:color w:val="auto"/>
        </w:rPr>
        <w:fldChar w:fldCharType="begin"/>
      </w:r>
      <w:r w:rsidRPr="00CA2753">
        <w:rPr>
          <w:b/>
          <w:i w:val="0"/>
          <w:color w:val="auto"/>
        </w:rPr>
        <w:instrText xml:space="preserve"> SEQ Graf \* ARABIC </w:instrText>
      </w:r>
      <w:r w:rsidRPr="00CA2753">
        <w:rPr>
          <w:b/>
          <w:i w:val="0"/>
          <w:color w:val="auto"/>
        </w:rPr>
        <w:fldChar w:fldCharType="separate"/>
      </w:r>
      <w:r w:rsidR="00076161">
        <w:rPr>
          <w:b/>
          <w:i w:val="0"/>
          <w:noProof/>
          <w:color w:val="auto"/>
        </w:rPr>
        <w:t>5</w:t>
      </w:r>
      <w:r w:rsidRPr="00CA2753">
        <w:rPr>
          <w:b/>
          <w:i w:val="0"/>
          <w:color w:val="auto"/>
        </w:rPr>
        <w:fldChar w:fldCharType="end"/>
      </w:r>
      <w:r w:rsidRPr="00CA2753">
        <w:rPr>
          <w:b/>
          <w:i w:val="0"/>
          <w:color w:val="auto"/>
        </w:rPr>
        <w:t xml:space="preserve">. Veková štruktúra obyvateľov v obciach </w:t>
      </w:r>
      <w:r>
        <w:rPr>
          <w:b/>
          <w:i w:val="0"/>
          <w:color w:val="auto"/>
        </w:rPr>
        <w:t xml:space="preserve">južnej </w:t>
      </w:r>
      <w:r w:rsidRPr="00CA2753">
        <w:rPr>
          <w:b/>
          <w:i w:val="0"/>
          <w:color w:val="auto"/>
        </w:rPr>
        <w:t>časti Slovenského raja. Zdroj: vlastné spracovanie KRI, Košice, Š</w:t>
      </w:r>
      <w:r>
        <w:rPr>
          <w:b/>
          <w:i w:val="0"/>
          <w:color w:val="auto"/>
        </w:rPr>
        <w:t>tatistický úrad</w:t>
      </w:r>
      <w:r w:rsidRPr="00CA2753">
        <w:rPr>
          <w:b/>
          <w:i w:val="0"/>
          <w:color w:val="auto"/>
        </w:rPr>
        <w:t xml:space="preserve"> SR</w:t>
      </w:r>
      <w:r>
        <w:rPr>
          <w:b/>
          <w:i w:val="0"/>
          <w:color w:val="auto"/>
        </w:rPr>
        <w:t>.</w:t>
      </w:r>
      <w:r w:rsidRPr="00AF6C12">
        <w:rPr>
          <w:szCs w:val="24"/>
        </w:rPr>
        <w:t>       </w:t>
      </w:r>
    </w:p>
    <w:p w14:paraId="27D2FC6A" w14:textId="77777777" w:rsidR="006B5C79" w:rsidRDefault="006B5C79" w:rsidP="006B5C79">
      <w:pPr>
        <w:spacing w:after="200" w:line="276" w:lineRule="auto"/>
        <w:jc w:val="both"/>
        <w:rPr>
          <w:szCs w:val="24"/>
        </w:rPr>
      </w:pPr>
      <w:r>
        <w:rPr>
          <w:szCs w:val="24"/>
        </w:rPr>
        <w:t xml:space="preserve">Obyvateľstvo v obciach </w:t>
      </w:r>
      <w:r w:rsidRPr="00F84ECA">
        <w:rPr>
          <w:szCs w:val="24"/>
        </w:rPr>
        <w:t>južnej časti</w:t>
      </w:r>
      <w:r>
        <w:rPr>
          <w:szCs w:val="24"/>
        </w:rPr>
        <w:t xml:space="preserve"> Slovenského raja je zložené z </w:t>
      </w:r>
      <w:r>
        <w:rPr>
          <w:b/>
          <w:i/>
          <w:szCs w:val="24"/>
        </w:rPr>
        <w:t>22</w:t>
      </w:r>
      <w:r w:rsidRPr="0015581D">
        <w:rPr>
          <w:b/>
          <w:i/>
          <w:szCs w:val="24"/>
        </w:rPr>
        <w:t>%</w:t>
      </w:r>
      <w:r>
        <w:rPr>
          <w:szCs w:val="24"/>
        </w:rPr>
        <w:t xml:space="preserve"> ľudí v predproduktívnom veku (</w:t>
      </w:r>
      <w:r>
        <w:rPr>
          <w:b/>
          <w:i/>
          <w:szCs w:val="24"/>
        </w:rPr>
        <w:t>1 917</w:t>
      </w:r>
      <w:r>
        <w:rPr>
          <w:szCs w:val="24"/>
        </w:rPr>
        <w:t xml:space="preserve"> obyvateľov), </w:t>
      </w:r>
      <w:r w:rsidRPr="0015581D">
        <w:rPr>
          <w:b/>
          <w:i/>
          <w:szCs w:val="24"/>
        </w:rPr>
        <w:t>6</w:t>
      </w:r>
      <w:r>
        <w:rPr>
          <w:b/>
          <w:i/>
          <w:szCs w:val="24"/>
        </w:rPr>
        <w:t>6</w:t>
      </w:r>
      <w:r w:rsidRPr="0015581D">
        <w:rPr>
          <w:b/>
          <w:i/>
          <w:szCs w:val="24"/>
        </w:rPr>
        <w:t>%</w:t>
      </w:r>
      <w:r>
        <w:rPr>
          <w:szCs w:val="24"/>
        </w:rPr>
        <w:t xml:space="preserve"> ľudí v produktívnom veku (</w:t>
      </w:r>
      <w:r>
        <w:rPr>
          <w:b/>
          <w:i/>
          <w:szCs w:val="24"/>
        </w:rPr>
        <w:t>5 825</w:t>
      </w:r>
      <w:r>
        <w:rPr>
          <w:szCs w:val="24"/>
        </w:rPr>
        <w:t xml:space="preserve"> obyvateľov) a </w:t>
      </w:r>
      <w:r>
        <w:rPr>
          <w:b/>
          <w:i/>
          <w:szCs w:val="24"/>
        </w:rPr>
        <w:t>12</w:t>
      </w:r>
      <w:r w:rsidRPr="0015581D">
        <w:rPr>
          <w:b/>
          <w:i/>
          <w:szCs w:val="24"/>
        </w:rPr>
        <w:t>%</w:t>
      </w:r>
      <w:r>
        <w:rPr>
          <w:szCs w:val="24"/>
        </w:rPr>
        <w:t xml:space="preserve"> ľudí v poproduktívnom </w:t>
      </w:r>
      <w:r>
        <w:rPr>
          <w:szCs w:val="24"/>
        </w:rPr>
        <w:lastRenderedPageBreak/>
        <w:t>veku (</w:t>
      </w:r>
      <w:r w:rsidRPr="0015581D">
        <w:rPr>
          <w:b/>
          <w:i/>
          <w:szCs w:val="24"/>
        </w:rPr>
        <w:t>1 0</w:t>
      </w:r>
      <w:r>
        <w:rPr>
          <w:b/>
          <w:i/>
          <w:szCs w:val="24"/>
        </w:rPr>
        <w:t>57</w:t>
      </w:r>
      <w:r>
        <w:rPr>
          <w:szCs w:val="24"/>
        </w:rPr>
        <w:t xml:space="preserve"> obyvateľov). Medzi rokmi 2012 a 2016 klesol počet obyvateľov najmä v produktívnom veku (-5,8%), ale aj poproduktívnom veku (-1,99%).</w:t>
      </w:r>
    </w:p>
    <w:p w14:paraId="55C6E731" w14:textId="4AA0215C" w:rsidR="00A85DF9" w:rsidRPr="00E476BB" w:rsidRDefault="006B5C79" w:rsidP="006B5C79">
      <w:pPr>
        <w:spacing w:after="200" w:line="276" w:lineRule="auto"/>
        <w:jc w:val="both"/>
      </w:pPr>
      <w:r>
        <w:rPr>
          <w:szCs w:val="24"/>
        </w:rPr>
        <w:t xml:space="preserve">Index starnutia obyvateľov (v %) predstavuje </w:t>
      </w:r>
      <w:r>
        <w:t xml:space="preserve">počet osôb v poproduktívnom veku k osobám v predproduktívnom veku (nad 65 rokov). </w:t>
      </w:r>
      <w:r w:rsidRPr="00C026FB">
        <w:rPr>
          <w:b/>
        </w:rPr>
        <w:t xml:space="preserve">V južnej časti </w:t>
      </w:r>
      <w:r>
        <w:t xml:space="preserve">NP Slovenský raj je za posledných 20 rokov zaznamenaný </w:t>
      </w:r>
      <w:r w:rsidRPr="00C026FB">
        <w:rPr>
          <w:b/>
        </w:rPr>
        <w:t>enormný nárast hodnoty indexu starnutia</w:t>
      </w:r>
      <w:r>
        <w:t xml:space="preserve"> </w:t>
      </w:r>
      <w:r w:rsidRPr="00BB030D">
        <w:rPr>
          <w:b/>
        </w:rPr>
        <w:t>na 214%</w:t>
      </w:r>
      <w:r>
        <w:t xml:space="preserve"> (o 33% - na 100 obyvateľov v predproduktívnom veku je cca. 214 obyvateľov v poproduktívnom veku). </w:t>
      </w:r>
      <w:r w:rsidRPr="00C026FB">
        <w:rPr>
          <w:b/>
        </w:rPr>
        <w:t>V severnej časti</w:t>
      </w:r>
      <w:r>
        <w:t xml:space="preserve"> je hodnota indexu na úrovni </w:t>
      </w:r>
      <w:r w:rsidRPr="00BB030D">
        <w:rPr>
          <w:b/>
        </w:rPr>
        <w:t>55,42%</w:t>
      </w:r>
      <w:r>
        <w:t xml:space="preserve"> (na 100 obyvateľov v predproduktívnom veku je 55 obyvateľov v poproduktívnom veku) a od roku 1996 </w:t>
      </w:r>
      <w:r w:rsidRPr="00C026FB">
        <w:rPr>
          <w:b/>
        </w:rPr>
        <w:t>narastal pomalým tempom</w:t>
      </w:r>
      <w:r w:rsidRPr="00E476BB">
        <w:t>. To súvisí s narastajúcou hodnotou priemerného veku obyvateľov</w:t>
      </w:r>
      <w:r>
        <w:t xml:space="preserve">, ktorá je v južnej časti okolo </w:t>
      </w:r>
      <w:r w:rsidRPr="00E476BB">
        <w:rPr>
          <w:b/>
        </w:rPr>
        <w:t>4</w:t>
      </w:r>
      <w:r>
        <w:rPr>
          <w:b/>
        </w:rPr>
        <w:t>4</w:t>
      </w:r>
      <w:r w:rsidRPr="00E476BB">
        <w:rPr>
          <w:b/>
        </w:rPr>
        <w:t xml:space="preserve"> rokov</w:t>
      </w:r>
      <w:r>
        <w:t>, čo je viac ako priemerný vek obyvateľov celej SR.</w:t>
      </w:r>
    </w:p>
    <w:tbl>
      <w:tblPr>
        <w:tblW w:w="6680" w:type="dxa"/>
        <w:tblInd w:w="-5" w:type="dxa"/>
        <w:tblCellMar>
          <w:left w:w="70" w:type="dxa"/>
          <w:right w:w="70" w:type="dxa"/>
        </w:tblCellMar>
        <w:tblLook w:val="04A0" w:firstRow="1" w:lastRow="0" w:firstColumn="1" w:lastColumn="0" w:noHBand="0" w:noVBand="1"/>
      </w:tblPr>
      <w:tblGrid>
        <w:gridCol w:w="1880"/>
        <w:gridCol w:w="960"/>
        <w:gridCol w:w="960"/>
        <w:gridCol w:w="960"/>
        <w:gridCol w:w="960"/>
        <w:gridCol w:w="960"/>
      </w:tblGrid>
      <w:tr w:rsidR="006B5C79" w:rsidRPr="00085E8A" w14:paraId="7A01A46D" w14:textId="77777777" w:rsidTr="000029BC">
        <w:trPr>
          <w:trHeight w:val="300"/>
        </w:trPr>
        <w:tc>
          <w:tcPr>
            <w:tcW w:w="1880"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46E157F6" w14:textId="77777777" w:rsidR="006B5C79" w:rsidRPr="00085E8A" w:rsidRDefault="006B5C79" w:rsidP="000029BC">
            <w:pPr>
              <w:spacing w:after="0" w:line="240" w:lineRule="auto"/>
              <w:rPr>
                <w:rFonts w:ascii="Calibri" w:eastAsia="Times New Roman" w:hAnsi="Calibri" w:cs="Calibri"/>
                <w:color w:val="000000"/>
                <w:sz w:val="20"/>
                <w:szCs w:val="20"/>
                <w:lang w:eastAsia="sk-SK"/>
              </w:rPr>
            </w:pPr>
            <w:r w:rsidRPr="00085E8A">
              <w:rPr>
                <w:rFonts w:ascii="Calibri" w:eastAsia="Times New Roman" w:hAnsi="Calibri" w:cs="Calibri"/>
                <w:color w:val="000000"/>
                <w:sz w:val="20"/>
                <w:szCs w:val="20"/>
                <w:lang w:eastAsia="sk-SK"/>
              </w:rPr>
              <w:t> </w:t>
            </w:r>
            <w:r>
              <w:rPr>
                <w:rFonts w:ascii="Calibri" w:eastAsia="Times New Roman" w:hAnsi="Calibri" w:cs="Calibri"/>
                <w:color w:val="000000"/>
                <w:sz w:val="20"/>
                <w:szCs w:val="20"/>
                <w:lang w:eastAsia="sk-SK"/>
              </w:rPr>
              <w:t>V %</w:t>
            </w:r>
          </w:p>
        </w:tc>
        <w:tc>
          <w:tcPr>
            <w:tcW w:w="960" w:type="dxa"/>
            <w:tcBorders>
              <w:top w:val="single" w:sz="4" w:space="0" w:color="auto"/>
              <w:left w:val="nil"/>
              <w:bottom w:val="single" w:sz="4" w:space="0" w:color="auto"/>
              <w:right w:val="single" w:sz="4" w:space="0" w:color="auto"/>
            </w:tcBorders>
            <w:shd w:val="clear" w:color="000000" w:fill="D0CECE"/>
            <w:noWrap/>
            <w:vAlign w:val="bottom"/>
            <w:hideMark/>
          </w:tcPr>
          <w:p w14:paraId="4DF85906" w14:textId="77777777" w:rsidR="006B5C79" w:rsidRPr="00085E8A" w:rsidRDefault="006B5C79" w:rsidP="000029BC">
            <w:pPr>
              <w:spacing w:after="0" w:line="240" w:lineRule="auto"/>
              <w:jc w:val="center"/>
              <w:rPr>
                <w:rFonts w:ascii="Calibri" w:eastAsia="Times New Roman" w:hAnsi="Calibri" w:cs="Calibri"/>
                <w:color w:val="000000"/>
                <w:sz w:val="20"/>
                <w:szCs w:val="20"/>
                <w:lang w:eastAsia="sk-SK"/>
              </w:rPr>
            </w:pPr>
            <w:r w:rsidRPr="00085E8A">
              <w:rPr>
                <w:rFonts w:ascii="Calibri" w:eastAsia="Times New Roman" w:hAnsi="Calibri" w:cs="Calibri"/>
                <w:color w:val="000000"/>
                <w:sz w:val="20"/>
                <w:szCs w:val="20"/>
                <w:lang w:eastAsia="sk-SK"/>
              </w:rPr>
              <w:t>1996</w:t>
            </w:r>
          </w:p>
        </w:tc>
        <w:tc>
          <w:tcPr>
            <w:tcW w:w="960" w:type="dxa"/>
            <w:tcBorders>
              <w:top w:val="single" w:sz="4" w:space="0" w:color="auto"/>
              <w:left w:val="nil"/>
              <w:bottom w:val="single" w:sz="4" w:space="0" w:color="auto"/>
              <w:right w:val="single" w:sz="4" w:space="0" w:color="auto"/>
            </w:tcBorders>
            <w:shd w:val="clear" w:color="000000" w:fill="D0CECE"/>
            <w:noWrap/>
            <w:vAlign w:val="bottom"/>
            <w:hideMark/>
          </w:tcPr>
          <w:p w14:paraId="4B7C2128" w14:textId="77777777" w:rsidR="006B5C79" w:rsidRPr="00085E8A" w:rsidRDefault="006B5C79" w:rsidP="000029BC">
            <w:pPr>
              <w:spacing w:after="0" w:line="240" w:lineRule="auto"/>
              <w:jc w:val="center"/>
              <w:rPr>
                <w:rFonts w:ascii="Calibri" w:eastAsia="Times New Roman" w:hAnsi="Calibri" w:cs="Calibri"/>
                <w:color w:val="000000"/>
                <w:sz w:val="20"/>
                <w:szCs w:val="20"/>
                <w:lang w:eastAsia="sk-SK"/>
              </w:rPr>
            </w:pPr>
            <w:r w:rsidRPr="00085E8A">
              <w:rPr>
                <w:rFonts w:ascii="Calibri" w:eastAsia="Times New Roman" w:hAnsi="Calibri" w:cs="Calibri"/>
                <w:color w:val="000000"/>
                <w:sz w:val="20"/>
                <w:szCs w:val="20"/>
                <w:lang w:eastAsia="sk-SK"/>
              </w:rPr>
              <w:t>2000</w:t>
            </w:r>
          </w:p>
        </w:tc>
        <w:tc>
          <w:tcPr>
            <w:tcW w:w="960" w:type="dxa"/>
            <w:tcBorders>
              <w:top w:val="single" w:sz="4" w:space="0" w:color="auto"/>
              <w:left w:val="nil"/>
              <w:bottom w:val="single" w:sz="4" w:space="0" w:color="auto"/>
              <w:right w:val="single" w:sz="4" w:space="0" w:color="auto"/>
            </w:tcBorders>
            <w:shd w:val="clear" w:color="000000" w:fill="D0CECE"/>
            <w:noWrap/>
            <w:vAlign w:val="bottom"/>
            <w:hideMark/>
          </w:tcPr>
          <w:p w14:paraId="7410DD89" w14:textId="77777777" w:rsidR="006B5C79" w:rsidRPr="00085E8A" w:rsidRDefault="006B5C79" w:rsidP="000029BC">
            <w:pPr>
              <w:spacing w:after="0" w:line="240" w:lineRule="auto"/>
              <w:jc w:val="center"/>
              <w:rPr>
                <w:rFonts w:ascii="Calibri" w:eastAsia="Times New Roman" w:hAnsi="Calibri" w:cs="Calibri"/>
                <w:color w:val="000000"/>
                <w:sz w:val="20"/>
                <w:szCs w:val="20"/>
                <w:lang w:eastAsia="sk-SK"/>
              </w:rPr>
            </w:pPr>
            <w:r w:rsidRPr="00085E8A">
              <w:rPr>
                <w:rFonts w:ascii="Calibri" w:eastAsia="Times New Roman" w:hAnsi="Calibri" w:cs="Calibri"/>
                <w:color w:val="000000"/>
                <w:sz w:val="20"/>
                <w:szCs w:val="20"/>
                <w:lang w:eastAsia="sk-SK"/>
              </w:rPr>
              <w:t>2005</w:t>
            </w:r>
          </w:p>
        </w:tc>
        <w:tc>
          <w:tcPr>
            <w:tcW w:w="960" w:type="dxa"/>
            <w:tcBorders>
              <w:top w:val="single" w:sz="4" w:space="0" w:color="auto"/>
              <w:left w:val="nil"/>
              <w:bottom w:val="single" w:sz="4" w:space="0" w:color="auto"/>
              <w:right w:val="single" w:sz="4" w:space="0" w:color="auto"/>
            </w:tcBorders>
            <w:shd w:val="clear" w:color="000000" w:fill="D0CECE"/>
            <w:noWrap/>
            <w:vAlign w:val="bottom"/>
            <w:hideMark/>
          </w:tcPr>
          <w:p w14:paraId="460FC116" w14:textId="77777777" w:rsidR="006B5C79" w:rsidRPr="00085E8A" w:rsidRDefault="006B5C79" w:rsidP="000029BC">
            <w:pPr>
              <w:spacing w:after="0" w:line="240" w:lineRule="auto"/>
              <w:jc w:val="center"/>
              <w:rPr>
                <w:rFonts w:ascii="Calibri" w:eastAsia="Times New Roman" w:hAnsi="Calibri" w:cs="Calibri"/>
                <w:color w:val="000000"/>
                <w:sz w:val="20"/>
                <w:szCs w:val="20"/>
                <w:lang w:eastAsia="sk-SK"/>
              </w:rPr>
            </w:pPr>
            <w:r w:rsidRPr="00085E8A">
              <w:rPr>
                <w:rFonts w:ascii="Calibri" w:eastAsia="Times New Roman" w:hAnsi="Calibri" w:cs="Calibri"/>
                <w:color w:val="000000"/>
                <w:sz w:val="20"/>
                <w:szCs w:val="20"/>
                <w:lang w:eastAsia="sk-SK"/>
              </w:rPr>
              <w:t>2010</w:t>
            </w:r>
          </w:p>
        </w:tc>
        <w:tc>
          <w:tcPr>
            <w:tcW w:w="960" w:type="dxa"/>
            <w:tcBorders>
              <w:top w:val="single" w:sz="4" w:space="0" w:color="auto"/>
              <w:left w:val="nil"/>
              <w:bottom w:val="single" w:sz="4" w:space="0" w:color="auto"/>
              <w:right w:val="single" w:sz="4" w:space="0" w:color="auto"/>
            </w:tcBorders>
            <w:shd w:val="clear" w:color="000000" w:fill="D0CECE"/>
            <w:noWrap/>
            <w:vAlign w:val="bottom"/>
            <w:hideMark/>
          </w:tcPr>
          <w:p w14:paraId="656F4D9E" w14:textId="77777777" w:rsidR="006B5C79" w:rsidRPr="00085E8A" w:rsidRDefault="006B5C79" w:rsidP="000029BC">
            <w:pPr>
              <w:spacing w:after="0" w:line="240" w:lineRule="auto"/>
              <w:jc w:val="center"/>
              <w:rPr>
                <w:rFonts w:ascii="Calibri" w:eastAsia="Times New Roman" w:hAnsi="Calibri" w:cs="Calibri"/>
                <w:color w:val="000000"/>
                <w:sz w:val="20"/>
                <w:szCs w:val="20"/>
                <w:lang w:eastAsia="sk-SK"/>
              </w:rPr>
            </w:pPr>
            <w:r w:rsidRPr="00085E8A">
              <w:rPr>
                <w:rFonts w:ascii="Calibri" w:eastAsia="Times New Roman" w:hAnsi="Calibri" w:cs="Calibri"/>
                <w:color w:val="000000"/>
                <w:sz w:val="20"/>
                <w:szCs w:val="20"/>
                <w:lang w:eastAsia="sk-SK"/>
              </w:rPr>
              <w:t>2016</w:t>
            </w:r>
          </w:p>
        </w:tc>
      </w:tr>
      <w:tr w:rsidR="006B5C79" w:rsidRPr="00085E8A" w14:paraId="1D1C0A2D" w14:textId="77777777" w:rsidTr="000029BC">
        <w:trPr>
          <w:trHeight w:val="300"/>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2C0DD75F" w14:textId="77777777" w:rsidR="006B5C79" w:rsidRPr="00085E8A" w:rsidRDefault="006B5C79" w:rsidP="000029BC">
            <w:pPr>
              <w:spacing w:after="0" w:line="240" w:lineRule="auto"/>
              <w:rPr>
                <w:rFonts w:ascii="Calibri" w:eastAsia="Times New Roman" w:hAnsi="Calibri" w:cs="Calibri"/>
                <w:color w:val="C65911"/>
                <w:sz w:val="20"/>
                <w:szCs w:val="20"/>
                <w:lang w:eastAsia="sk-SK"/>
              </w:rPr>
            </w:pPr>
            <w:r w:rsidRPr="00085E8A">
              <w:rPr>
                <w:rFonts w:ascii="Calibri" w:eastAsia="Times New Roman" w:hAnsi="Calibri" w:cs="Calibri"/>
                <w:color w:val="C65911"/>
                <w:sz w:val="20"/>
                <w:szCs w:val="20"/>
                <w:lang w:eastAsia="sk-SK"/>
              </w:rPr>
              <w:t>Severná časť</w:t>
            </w:r>
          </w:p>
        </w:tc>
        <w:tc>
          <w:tcPr>
            <w:tcW w:w="960" w:type="dxa"/>
            <w:tcBorders>
              <w:top w:val="nil"/>
              <w:left w:val="nil"/>
              <w:bottom w:val="single" w:sz="4" w:space="0" w:color="auto"/>
              <w:right w:val="single" w:sz="4" w:space="0" w:color="auto"/>
            </w:tcBorders>
            <w:shd w:val="clear" w:color="auto" w:fill="auto"/>
            <w:noWrap/>
            <w:vAlign w:val="bottom"/>
            <w:hideMark/>
          </w:tcPr>
          <w:p w14:paraId="2A0C0F09" w14:textId="77777777" w:rsidR="006B5C79" w:rsidRPr="00085E8A" w:rsidRDefault="006B5C79" w:rsidP="000029BC">
            <w:pPr>
              <w:spacing w:after="0" w:line="240" w:lineRule="auto"/>
              <w:jc w:val="center"/>
              <w:rPr>
                <w:rFonts w:ascii="Calibri" w:eastAsia="Times New Roman" w:hAnsi="Calibri" w:cs="Calibri"/>
                <w:color w:val="000000"/>
                <w:sz w:val="18"/>
                <w:szCs w:val="18"/>
                <w:lang w:eastAsia="sk-SK"/>
              </w:rPr>
            </w:pPr>
            <w:r w:rsidRPr="00085E8A">
              <w:rPr>
                <w:rFonts w:ascii="Calibri" w:eastAsia="Times New Roman" w:hAnsi="Calibri" w:cs="Calibri"/>
                <w:color w:val="000000"/>
                <w:sz w:val="18"/>
                <w:szCs w:val="18"/>
                <w:lang w:eastAsia="sk-SK"/>
              </w:rPr>
              <w:t>38,47</w:t>
            </w:r>
          </w:p>
        </w:tc>
        <w:tc>
          <w:tcPr>
            <w:tcW w:w="960" w:type="dxa"/>
            <w:tcBorders>
              <w:top w:val="nil"/>
              <w:left w:val="nil"/>
              <w:bottom w:val="single" w:sz="4" w:space="0" w:color="auto"/>
              <w:right w:val="single" w:sz="4" w:space="0" w:color="auto"/>
            </w:tcBorders>
            <w:shd w:val="clear" w:color="auto" w:fill="auto"/>
            <w:noWrap/>
            <w:vAlign w:val="bottom"/>
            <w:hideMark/>
          </w:tcPr>
          <w:p w14:paraId="2BA9969A" w14:textId="77777777" w:rsidR="006B5C79" w:rsidRPr="00085E8A" w:rsidRDefault="006B5C79" w:rsidP="000029BC">
            <w:pPr>
              <w:spacing w:after="0" w:line="240" w:lineRule="auto"/>
              <w:jc w:val="center"/>
              <w:rPr>
                <w:rFonts w:ascii="Calibri" w:eastAsia="Times New Roman" w:hAnsi="Calibri" w:cs="Calibri"/>
                <w:color w:val="000000"/>
                <w:sz w:val="18"/>
                <w:szCs w:val="18"/>
                <w:lang w:eastAsia="sk-SK"/>
              </w:rPr>
            </w:pPr>
            <w:r w:rsidRPr="00085E8A">
              <w:rPr>
                <w:rFonts w:ascii="Calibri" w:eastAsia="Times New Roman" w:hAnsi="Calibri" w:cs="Calibri"/>
                <w:color w:val="000000"/>
                <w:sz w:val="18"/>
                <w:szCs w:val="18"/>
                <w:lang w:eastAsia="sk-SK"/>
              </w:rPr>
              <w:t>43,67</w:t>
            </w:r>
          </w:p>
        </w:tc>
        <w:tc>
          <w:tcPr>
            <w:tcW w:w="960" w:type="dxa"/>
            <w:tcBorders>
              <w:top w:val="nil"/>
              <w:left w:val="nil"/>
              <w:bottom w:val="single" w:sz="4" w:space="0" w:color="auto"/>
              <w:right w:val="single" w:sz="4" w:space="0" w:color="auto"/>
            </w:tcBorders>
            <w:shd w:val="clear" w:color="auto" w:fill="auto"/>
            <w:noWrap/>
            <w:vAlign w:val="bottom"/>
            <w:hideMark/>
          </w:tcPr>
          <w:p w14:paraId="24034C9E" w14:textId="77777777" w:rsidR="006B5C79" w:rsidRPr="00085E8A" w:rsidRDefault="006B5C79" w:rsidP="000029BC">
            <w:pPr>
              <w:spacing w:after="0" w:line="240" w:lineRule="auto"/>
              <w:jc w:val="center"/>
              <w:rPr>
                <w:rFonts w:ascii="Calibri" w:eastAsia="Times New Roman" w:hAnsi="Calibri" w:cs="Calibri"/>
                <w:color w:val="000000"/>
                <w:sz w:val="18"/>
                <w:szCs w:val="18"/>
                <w:lang w:eastAsia="sk-SK"/>
              </w:rPr>
            </w:pPr>
            <w:r w:rsidRPr="00085E8A">
              <w:rPr>
                <w:rFonts w:ascii="Calibri" w:eastAsia="Times New Roman" w:hAnsi="Calibri" w:cs="Calibri"/>
                <w:color w:val="000000"/>
                <w:sz w:val="18"/>
                <w:szCs w:val="18"/>
                <w:lang w:eastAsia="sk-SK"/>
              </w:rPr>
              <w:t>45,18</w:t>
            </w:r>
          </w:p>
        </w:tc>
        <w:tc>
          <w:tcPr>
            <w:tcW w:w="960" w:type="dxa"/>
            <w:tcBorders>
              <w:top w:val="nil"/>
              <w:left w:val="nil"/>
              <w:bottom w:val="single" w:sz="4" w:space="0" w:color="auto"/>
              <w:right w:val="single" w:sz="4" w:space="0" w:color="auto"/>
            </w:tcBorders>
            <w:shd w:val="clear" w:color="auto" w:fill="auto"/>
            <w:noWrap/>
            <w:vAlign w:val="bottom"/>
            <w:hideMark/>
          </w:tcPr>
          <w:p w14:paraId="2D9F057E" w14:textId="77777777" w:rsidR="006B5C79" w:rsidRPr="00085E8A" w:rsidRDefault="006B5C79" w:rsidP="000029BC">
            <w:pPr>
              <w:spacing w:after="0" w:line="240" w:lineRule="auto"/>
              <w:jc w:val="center"/>
              <w:rPr>
                <w:rFonts w:ascii="Calibri" w:eastAsia="Times New Roman" w:hAnsi="Calibri" w:cs="Calibri"/>
                <w:color w:val="000000"/>
                <w:sz w:val="18"/>
                <w:szCs w:val="18"/>
                <w:lang w:eastAsia="sk-SK"/>
              </w:rPr>
            </w:pPr>
            <w:r w:rsidRPr="00085E8A">
              <w:rPr>
                <w:rFonts w:ascii="Calibri" w:eastAsia="Times New Roman" w:hAnsi="Calibri" w:cs="Calibri"/>
                <w:color w:val="000000"/>
                <w:sz w:val="18"/>
                <w:szCs w:val="18"/>
                <w:lang w:eastAsia="sk-SK"/>
              </w:rPr>
              <w:t>48,40</w:t>
            </w:r>
          </w:p>
        </w:tc>
        <w:tc>
          <w:tcPr>
            <w:tcW w:w="960" w:type="dxa"/>
            <w:tcBorders>
              <w:top w:val="nil"/>
              <w:left w:val="nil"/>
              <w:bottom w:val="single" w:sz="4" w:space="0" w:color="auto"/>
              <w:right w:val="single" w:sz="4" w:space="0" w:color="auto"/>
            </w:tcBorders>
            <w:shd w:val="clear" w:color="auto" w:fill="C5E0B3" w:themeFill="accent6" w:themeFillTint="66"/>
            <w:noWrap/>
            <w:vAlign w:val="bottom"/>
            <w:hideMark/>
          </w:tcPr>
          <w:p w14:paraId="48A2802D" w14:textId="77777777" w:rsidR="006B5C79" w:rsidRPr="00085E8A" w:rsidRDefault="006B5C79" w:rsidP="000029BC">
            <w:pPr>
              <w:spacing w:after="0" w:line="240" w:lineRule="auto"/>
              <w:jc w:val="center"/>
              <w:rPr>
                <w:rFonts w:ascii="Calibri" w:eastAsia="Times New Roman" w:hAnsi="Calibri" w:cs="Calibri"/>
                <w:color w:val="000000"/>
                <w:sz w:val="18"/>
                <w:szCs w:val="18"/>
                <w:lang w:eastAsia="sk-SK"/>
              </w:rPr>
            </w:pPr>
            <w:r w:rsidRPr="00085E8A">
              <w:rPr>
                <w:rFonts w:ascii="Calibri" w:eastAsia="Times New Roman" w:hAnsi="Calibri" w:cs="Calibri"/>
                <w:color w:val="000000"/>
                <w:sz w:val="18"/>
                <w:szCs w:val="18"/>
                <w:lang w:eastAsia="sk-SK"/>
              </w:rPr>
              <w:t>55,42</w:t>
            </w:r>
          </w:p>
        </w:tc>
      </w:tr>
      <w:tr w:rsidR="006B5C79" w:rsidRPr="00085E8A" w14:paraId="5C448898" w14:textId="77777777" w:rsidTr="000029BC">
        <w:trPr>
          <w:trHeight w:val="300"/>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57BF334B" w14:textId="77777777" w:rsidR="006B5C79" w:rsidRPr="00085E8A" w:rsidRDefault="006B5C79" w:rsidP="000029BC">
            <w:pPr>
              <w:spacing w:after="0" w:line="240" w:lineRule="auto"/>
              <w:rPr>
                <w:rFonts w:ascii="Calibri" w:eastAsia="Times New Roman" w:hAnsi="Calibri" w:cs="Calibri"/>
                <w:color w:val="305496"/>
                <w:sz w:val="20"/>
                <w:szCs w:val="20"/>
                <w:lang w:eastAsia="sk-SK"/>
              </w:rPr>
            </w:pPr>
            <w:r w:rsidRPr="00085E8A">
              <w:rPr>
                <w:rFonts w:ascii="Calibri" w:eastAsia="Times New Roman" w:hAnsi="Calibri" w:cs="Calibri"/>
                <w:color w:val="305496"/>
                <w:sz w:val="20"/>
                <w:szCs w:val="20"/>
                <w:lang w:eastAsia="sk-SK"/>
              </w:rPr>
              <w:t>Južná časť</w:t>
            </w:r>
          </w:p>
        </w:tc>
        <w:tc>
          <w:tcPr>
            <w:tcW w:w="960" w:type="dxa"/>
            <w:tcBorders>
              <w:top w:val="nil"/>
              <w:left w:val="nil"/>
              <w:bottom w:val="single" w:sz="4" w:space="0" w:color="auto"/>
              <w:right w:val="single" w:sz="4" w:space="0" w:color="auto"/>
            </w:tcBorders>
            <w:shd w:val="clear" w:color="auto" w:fill="auto"/>
            <w:noWrap/>
            <w:vAlign w:val="bottom"/>
            <w:hideMark/>
          </w:tcPr>
          <w:p w14:paraId="5D1FA102" w14:textId="77777777" w:rsidR="006B5C79" w:rsidRPr="00085E8A" w:rsidRDefault="006B5C79" w:rsidP="000029BC">
            <w:pPr>
              <w:spacing w:after="0" w:line="240" w:lineRule="auto"/>
              <w:jc w:val="center"/>
              <w:rPr>
                <w:rFonts w:ascii="Calibri" w:eastAsia="Times New Roman" w:hAnsi="Calibri" w:cs="Calibri"/>
                <w:color w:val="000000"/>
                <w:sz w:val="18"/>
                <w:szCs w:val="18"/>
                <w:lang w:eastAsia="sk-SK"/>
              </w:rPr>
            </w:pPr>
            <w:r w:rsidRPr="00085E8A">
              <w:rPr>
                <w:rFonts w:ascii="Calibri" w:eastAsia="Times New Roman" w:hAnsi="Calibri" w:cs="Calibri"/>
                <w:color w:val="000000"/>
                <w:sz w:val="18"/>
                <w:szCs w:val="18"/>
                <w:lang w:eastAsia="sk-SK"/>
              </w:rPr>
              <w:t>71,22</w:t>
            </w:r>
          </w:p>
        </w:tc>
        <w:tc>
          <w:tcPr>
            <w:tcW w:w="960" w:type="dxa"/>
            <w:tcBorders>
              <w:top w:val="nil"/>
              <w:left w:val="nil"/>
              <w:bottom w:val="single" w:sz="4" w:space="0" w:color="auto"/>
              <w:right w:val="single" w:sz="4" w:space="0" w:color="auto"/>
            </w:tcBorders>
            <w:shd w:val="clear" w:color="auto" w:fill="auto"/>
            <w:noWrap/>
            <w:vAlign w:val="bottom"/>
            <w:hideMark/>
          </w:tcPr>
          <w:p w14:paraId="21709E9F" w14:textId="77777777" w:rsidR="006B5C79" w:rsidRPr="00085E8A" w:rsidRDefault="006B5C79" w:rsidP="000029BC">
            <w:pPr>
              <w:spacing w:after="0" w:line="240" w:lineRule="auto"/>
              <w:jc w:val="center"/>
              <w:rPr>
                <w:rFonts w:ascii="Calibri" w:eastAsia="Times New Roman" w:hAnsi="Calibri" w:cs="Calibri"/>
                <w:color w:val="000000"/>
                <w:sz w:val="18"/>
                <w:szCs w:val="18"/>
                <w:lang w:eastAsia="sk-SK"/>
              </w:rPr>
            </w:pPr>
            <w:r w:rsidRPr="00085E8A">
              <w:rPr>
                <w:rFonts w:ascii="Calibri" w:eastAsia="Times New Roman" w:hAnsi="Calibri" w:cs="Calibri"/>
                <w:color w:val="000000"/>
                <w:sz w:val="18"/>
                <w:szCs w:val="18"/>
                <w:lang w:eastAsia="sk-SK"/>
              </w:rPr>
              <w:t>86,91</w:t>
            </w:r>
          </w:p>
        </w:tc>
        <w:tc>
          <w:tcPr>
            <w:tcW w:w="960" w:type="dxa"/>
            <w:tcBorders>
              <w:top w:val="nil"/>
              <w:left w:val="nil"/>
              <w:bottom w:val="single" w:sz="4" w:space="0" w:color="auto"/>
              <w:right w:val="single" w:sz="4" w:space="0" w:color="auto"/>
            </w:tcBorders>
            <w:shd w:val="clear" w:color="auto" w:fill="auto"/>
            <w:noWrap/>
            <w:vAlign w:val="bottom"/>
            <w:hideMark/>
          </w:tcPr>
          <w:p w14:paraId="78820BE1" w14:textId="77777777" w:rsidR="006B5C79" w:rsidRPr="00085E8A" w:rsidRDefault="006B5C79" w:rsidP="000029BC">
            <w:pPr>
              <w:spacing w:after="0" w:line="240" w:lineRule="auto"/>
              <w:jc w:val="center"/>
              <w:rPr>
                <w:rFonts w:ascii="Calibri" w:eastAsia="Times New Roman" w:hAnsi="Calibri" w:cs="Calibri"/>
                <w:color w:val="000000"/>
                <w:sz w:val="18"/>
                <w:szCs w:val="18"/>
                <w:lang w:eastAsia="sk-SK"/>
              </w:rPr>
            </w:pPr>
            <w:r w:rsidRPr="00085E8A">
              <w:rPr>
                <w:rFonts w:ascii="Calibri" w:eastAsia="Times New Roman" w:hAnsi="Calibri" w:cs="Calibri"/>
                <w:color w:val="000000"/>
                <w:sz w:val="18"/>
                <w:szCs w:val="18"/>
                <w:lang w:eastAsia="sk-SK"/>
              </w:rPr>
              <w:t>94,17</w:t>
            </w:r>
          </w:p>
        </w:tc>
        <w:tc>
          <w:tcPr>
            <w:tcW w:w="960" w:type="dxa"/>
            <w:tcBorders>
              <w:top w:val="nil"/>
              <w:left w:val="nil"/>
              <w:bottom w:val="single" w:sz="4" w:space="0" w:color="auto"/>
              <w:right w:val="single" w:sz="4" w:space="0" w:color="auto"/>
            </w:tcBorders>
            <w:shd w:val="clear" w:color="auto" w:fill="auto"/>
            <w:noWrap/>
            <w:vAlign w:val="bottom"/>
            <w:hideMark/>
          </w:tcPr>
          <w:p w14:paraId="300EB9F0" w14:textId="77777777" w:rsidR="006B5C79" w:rsidRPr="00085E8A" w:rsidRDefault="006B5C79" w:rsidP="000029BC">
            <w:pPr>
              <w:spacing w:after="0" w:line="240" w:lineRule="auto"/>
              <w:jc w:val="center"/>
              <w:rPr>
                <w:rFonts w:ascii="Calibri" w:eastAsia="Times New Roman" w:hAnsi="Calibri" w:cs="Calibri"/>
                <w:color w:val="000000"/>
                <w:sz w:val="18"/>
                <w:szCs w:val="18"/>
                <w:lang w:eastAsia="sk-SK"/>
              </w:rPr>
            </w:pPr>
            <w:r w:rsidRPr="00085E8A">
              <w:rPr>
                <w:rFonts w:ascii="Calibri" w:eastAsia="Times New Roman" w:hAnsi="Calibri" w:cs="Calibri"/>
                <w:color w:val="000000"/>
                <w:sz w:val="18"/>
                <w:szCs w:val="18"/>
                <w:lang w:eastAsia="sk-SK"/>
              </w:rPr>
              <w:t>131,08</w:t>
            </w:r>
          </w:p>
        </w:tc>
        <w:tc>
          <w:tcPr>
            <w:tcW w:w="960" w:type="dxa"/>
            <w:tcBorders>
              <w:top w:val="nil"/>
              <w:left w:val="nil"/>
              <w:bottom w:val="single" w:sz="4" w:space="0" w:color="auto"/>
              <w:right w:val="single" w:sz="4" w:space="0" w:color="auto"/>
            </w:tcBorders>
            <w:shd w:val="clear" w:color="auto" w:fill="FF0000"/>
            <w:noWrap/>
            <w:vAlign w:val="bottom"/>
            <w:hideMark/>
          </w:tcPr>
          <w:p w14:paraId="40000820" w14:textId="77777777" w:rsidR="006B5C79" w:rsidRPr="00085E8A" w:rsidRDefault="006B5C79" w:rsidP="000029BC">
            <w:pPr>
              <w:spacing w:after="0" w:line="240" w:lineRule="auto"/>
              <w:jc w:val="center"/>
              <w:rPr>
                <w:rFonts w:ascii="Calibri" w:eastAsia="Times New Roman" w:hAnsi="Calibri" w:cs="Calibri"/>
                <w:color w:val="000000"/>
                <w:sz w:val="18"/>
                <w:szCs w:val="18"/>
                <w:lang w:eastAsia="sk-SK"/>
              </w:rPr>
            </w:pPr>
            <w:r w:rsidRPr="00085E8A">
              <w:rPr>
                <w:rFonts w:ascii="Calibri" w:eastAsia="Times New Roman" w:hAnsi="Calibri" w:cs="Calibri"/>
                <w:color w:val="000000"/>
                <w:sz w:val="18"/>
                <w:szCs w:val="18"/>
                <w:lang w:eastAsia="sk-SK"/>
              </w:rPr>
              <w:t>214,75</w:t>
            </w:r>
          </w:p>
        </w:tc>
      </w:tr>
      <w:tr w:rsidR="006B5C79" w:rsidRPr="00085E8A" w14:paraId="4EBF7909" w14:textId="77777777" w:rsidTr="000029BC">
        <w:trPr>
          <w:trHeight w:val="300"/>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4C39084F" w14:textId="77777777" w:rsidR="006B5C79" w:rsidRPr="00085E8A" w:rsidRDefault="006B5C79" w:rsidP="000029BC">
            <w:pPr>
              <w:spacing w:after="0" w:line="240" w:lineRule="auto"/>
              <w:rPr>
                <w:rFonts w:ascii="Calibri" w:eastAsia="Times New Roman" w:hAnsi="Calibri" w:cs="Calibri"/>
                <w:color w:val="C65911"/>
                <w:sz w:val="20"/>
                <w:szCs w:val="20"/>
                <w:lang w:eastAsia="sk-SK"/>
              </w:rPr>
            </w:pPr>
            <w:r w:rsidRPr="00085E8A">
              <w:rPr>
                <w:rFonts w:ascii="Calibri" w:eastAsia="Times New Roman" w:hAnsi="Calibri" w:cs="Calibri"/>
                <w:color w:val="C65911"/>
                <w:sz w:val="20"/>
                <w:szCs w:val="20"/>
                <w:lang w:eastAsia="sk-SK"/>
              </w:rPr>
              <w:t>Spišská Nová Ves</w:t>
            </w:r>
          </w:p>
        </w:tc>
        <w:tc>
          <w:tcPr>
            <w:tcW w:w="960" w:type="dxa"/>
            <w:tcBorders>
              <w:top w:val="nil"/>
              <w:left w:val="nil"/>
              <w:bottom w:val="single" w:sz="4" w:space="0" w:color="auto"/>
              <w:right w:val="single" w:sz="4" w:space="0" w:color="auto"/>
            </w:tcBorders>
            <w:shd w:val="clear" w:color="auto" w:fill="auto"/>
            <w:noWrap/>
            <w:vAlign w:val="bottom"/>
            <w:hideMark/>
          </w:tcPr>
          <w:p w14:paraId="4300976A" w14:textId="77777777" w:rsidR="006B5C79" w:rsidRPr="00085E8A" w:rsidRDefault="006B5C79" w:rsidP="000029BC">
            <w:pPr>
              <w:spacing w:after="0" w:line="240" w:lineRule="auto"/>
              <w:jc w:val="center"/>
              <w:rPr>
                <w:rFonts w:ascii="Calibri" w:eastAsia="Times New Roman" w:hAnsi="Calibri" w:cs="Calibri"/>
                <w:color w:val="000000"/>
                <w:sz w:val="18"/>
                <w:szCs w:val="18"/>
                <w:lang w:eastAsia="sk-SK"/>
              </w:rPr>
            </w:pPr>
            <w:r w:rsidRPr="00085E8A">
              <w:rPr>
                <w:rFonts w:ascii="Calibri" w:eastAsia="Times New Roman" w:hAnsi="Calibri" w:cs="Calibri"/>
                <w:color w:val="000000"/>
                <w:sz w:val="18"/>
                <w:szCs w:val="18"/>
                <w:lang w:eastAsia="sk-SK"/>
              </w:rPr>
              <w:t>33,62</w:t>
            </w:r>
          </w:p>
        </w:tc>
        <w:tc>
          <w:tcPr>
            <w:tcW w:w="960" w:type="dxa"/>
            <w:tcBorders>
              <w:top w:val="nil"/>
              <w:left w:val="nil"/>
              <w:bottom w:val="single" w:sz="4" w:space="0" w:color="auto"/>
              <w:right w:val="single" w:sz="4" w:space="0" w:color="auto"/>
            </w:tcBorders>
            <w:shd w:val="clear" w:color="auto" w:fill="auto"/>
            <w:noWrap/>
            <w:vAlign w:val="bottom"/>
            <w:hideMark/>
          </w:tcPr>
          <w:p w14:paraId="08BD99C0" w14:textId="77777777" w:rsidR="006B5C79" w:rsidRPr="00085E8A" w:rsidRDefault="006B5C79" w:rsidP="000029BC">
            <w:pPr>
              <w:spacing w:after="0" w:line="240" w:lineRule="auto"/>
              <w:jc w:val="center"/>
              <w:rPr>
                <w:rFonts w:ascii="Calibri" w:eastAsia="Times New Roman" w:hAnsi="Calibri" w:cs="Calibri"/>
                <w:color w:val="000000"/>
                <w:sz w:val="18"/>
                <w:szCs w:val="18"/>
                <w:lang w:eastAsia="sk-SK"/>
              </w:rPr>
            </w:pPr>
            <w:r w:rsidRPr="00085E8A">
              <w:rPr>
                <w:rFonts w:ascii="Calibri" w:eastAsia="Times New Roman" w:hAnsi="Calibri" w:cs="Calibri"/>
                <w:color w:val="000000"/>
                <w:sz w:val="18"/>
                <w:szCs w:val="18"/>
                <w:lang w:eastAsia="sk-SK"/>
              </w:rPr>
              <w:t>44,21</w:t>
            </w:r>
          </w:p>
        </w:tc>
        <w:tc>
          <w:tcPr>
            <w:tcW w:w="960" w:type="dxa"/>
            <w:tcBorders>
              <w:top w:val="nil"/>
              <w:left w:val="nil"/>
              <w:bottom w:val="single" w:sz="4" w:space="0" w:color="auto"/>
              <w:right w:val="single" w:sz="4" w:space="0" w:color="auto"/>
            </w:tcBorders>
            <w:shd w:val="clear" w:color="auto" w:fill="auto"/>
            <w:noWrap/>
            <w:vAlign w:val="bottom"/>
            <w:hideMark/>
          </w:tcPr>
          <w:p w14:paraId="6CBFFEDD" w14:textId="77777777" w:rsidR="006B5C79" w:rsidRPr="00085E8A" w:rsidRDefault="006B5C79" w:rsidP="000029BC">
            <w:pPr>
              <w:spacing w:after="0" w:line="240" w:lineRule="auto"/>
              <w:jc w:val="center"/>
              <w:rPr>
                <w:rFonts w:ascii="Calibri" w:eastAsia="Times New Roman" w:hAnsi="Calibri" w:cs="Calibri"/>
                <w:color w:val="000000"/>
                <w:sz w:val="18"/>
                <w:szCs w:val="18"/>
                <w:lang w:eastAsia="sk-SK"/>
              </w:rPr>
            </w:pPr>
            <w:r w:rsidRPr="00085E8A">
              <w:rPr>
                <w:rFonts w:ascii="Calibri" w:eastAsia="Times New Roman" w:hAnsi="Calibri" w:cs="Calibri"/>
                <w:color w:val="000000"/>
                <w:sz w:val="18"/>
                <w:szCs w:val="18"/>
                <w:lang w:eastAsia="sk-SK"/>
              </w:rPr>
              <w:t>59,93</w:t>
            </w:r>
          </w:p>
        </w:tc>
        <w:tc>
          <w:tcPr>
            <w:tcW w:w="960" w:type="dxa"/>
            <w:tcBorders>
              <w:top w:val="nil"/>
              <w:left w:val="nil"/>
              <w:bottom w:val="single" w:sz="4" w:space="0" w:color="auto"/>
              <w:right w:val="single" w:sz="4" w:space="0" w:color="auto"/>
            </w:tcBorders>
            <w:shd w:val="clear" w:color="auto" w:fill="auto"/>
            <w:noWrap/>
            <w:vAlign w:val="bottom"/>
            <w:hideMark/>
          </w:tcPr>
          <w:p w14:paraId="1CA15342" w14:textId="77777777" w:rsidR="006B5C79" w:rsidRPr="00085E8A" w:rsidRDefault="006B5C79" w:rsidP="000029BC">
            <w:pPr>
              <w:spacing w:after="0" w:line="240" w:lineRule="auto"/>
              <w:jc w:val="center"/>
              <w:rPr>
                <w:rFonts w:ascii="Calibri" w:eastAsia="Times New Roman" w:hAnsi="Calibri" w:cs="Calibri"/>
                <w:color w:val="000000"/>
                <w:sz w:val="18"/>
                <w:szCs w:val="18"/>
                <w:lang w:eastAsia="sk-SK"/>
              </w:rPr>
            </w:pPr>
            <w:r w:rsidRPr="00085E8A">
              <w:rPr>
                <w:rFonts w:ascii="Calibri" w:eastAsia="Times New Roman" w:hAnsi="Calibri" w:cs="Calibri"/>
                <w:color w:val="000000"/>
                <w:sz w:val="18"/>
                <w:szCs w:val="18"/>
                <w:lang w:eastAsia="sk-SK"/>
              </w:rPr>
              <w:t>74,23</w:t>
            </w:r>
          </w:p>
        </w:tc>
        <w:tc>
          <w:tcPr>
            <w:tcW w:w="960" w:type="dxa"/>
            <w:tcBorders>
              <w:top w:val="nil"/>
              <w:left w:val="nil"/>
              <w:bottom w:val="single" w:sz="4" w:space="0" w:color="auto"/>
              <w:right w:val="single" w:sz="4" w:space="0" w:color="auto"/>
            </w:tcBorders>
            <w:shd w:val="clear" w:color="auto" w:fill="F4B083" w:themeFill="accent2" w:themeFillTint="99"/>
            <w:noWrap/>
            <w:vAlign w:val="bottom"/>
            <w:hideMark/>
          </w:tcPr>
          <w:p w14:paraId="7403BEE6" w14:textId="77777777" w:rsidR="006B5C79" w:rsidRPr="00085E8A" w:rsidRDefault="006B5C79" w:rsidP="000029BC">
            <w:pPr>
              <w:keepNext/>
              <w:spacing w:after="0" w:line="240" w:lineRule="auto"/>
              <w:jc w:val="center"/>
              <w:rPr>
                <w:rFonts w:ascii="Calibri" w:eastAsia="Times New Roman" w:hAnsi="Calibri" w:cs="Calibri"/>
                <w:color w:val="000000"/>
                <w:sz w:val="18"/>
                <w:szCs w:val="18"/>
                <w:lang w:eastAsia="sk-SK"/>
              </w:rPr>
            </w:pPr>
            <w:r w:rsidRPr="00085E8A">
              <w:rPr>
                <w:rFonts w:ascii="Calibri" w:eastAsia="Times New Roman" w:hAnsi="Calibri" w:cs="Calibri"/>
                <w:color w:val="000000"/>
                <w:sz w:val="18"/>
                <w:szCs w:val="18"/>
                <w:lang w:eastAsia="sk-SK"/>
              </w:rPr>
              <w:t>99,44</w:t>
            </w:r>
          </w:p>
        </w:tc>
      </w:tr>
    </w:tbl>
    <w:p w14:paraId="2293354C" w14:textId="2AF51ACE" w:rsidR="006B5C79" w:rsidRPr="00C026FB" w:rsidRDefault="006B5C79" w:rsidP="006B5C79">
      <w:pPr>
        <w:pStyle w:val="Popis"/>
        <w:rPr>
          <w:b/>
          <w:i w:val="0"/>
          <w:color w:val="auto"/>
          <w:szCs w:val="24"/>
        </w:rPr>
      </w:pPr>
      <w:r w:rsidRPr="00C026FB">
        <w:rPr>
          <w:b/>
          <w:i w:val="0"/>
          <w:color w:val="auto"/>
        </w:rPr>
        <w:t xml:space="preserve">Tabuľka </w:t>
      </w:r>
      <w:r w:rsidR="00FF36C8">
        <w:rPr>
          <w:b/>
          <w:i w:val="0"/>
          <w:color w:val="auto"/>
        </w:rPr>
        <w:fldChar w:fldCharType="begin"/>
      </w:r>
      <w:r w:rsidR="00FF36C8">
        <w:rPr>
          <w:b/>
          <w:i w:val="0"/>
          <w:color w:val="auto"/>
        </w:rPr>
        <w:instrText xml:space="preserve"> SEQ Tabuľka \* ARABIC </w:instrText>
      </w:r>
      <w:r w:rsidR="00FF36C8">
        <w:rPr>
          <w:b/>
          <w:i w:val="0"/>
          <w:color w:val="auto"/>
        </w:rPr>
        <w:fldChar w:fldCharType="separate"/>
      </w:r>
      <w:r w:rsidR="00FF36C8">
        <w:rPr>
          <w:b/>
          <w:i w:val="0"/>
          <w:noProof/>
          <w:color w:val="auto"/>
        </w:rPr>
        <w:t>5</w:t>
      </w:r>
      <w:r w:rsidR="00FF36C8">
        <w:rPr>
          <w:b/>
          <w:i w:val="0"/>
          <w:color w:val="auto"/>
        </w:rPr>
        <w:fldChar w:fldCharType="end"/>
      </w:r>
      <w:r w:rsidRPr="00C026FB">
        <w:rPr>
          <w:b/>
          <w:i w:val="0"/>
          <w:color w:val="auto"/>
        </w:rPr>
        <w:t>. Hodnoty indexu starnutia pre časti NP Slovenský raj. Zdroj: vlastné spracovanie KRI podľa ŠÚ SR</w:t>
      </w:r>
      <w:r>
        <w:rPr>
          <w:b/>
          <w:i w:val="0"/>
          <w:color w:val="auto"/>
        </w:rPr>
        <w:t>, 2018.</w:t>
      </w:r>
    </w:p>
    <w:p w14:paraId="04707516" w14:textId="77777777" w:rsidR="006B5C79" w:rsidRDefault="006B5C79" w:rsidP="006B5C79">
      <w:pPr>
        <w:keepNext/>
        <w:spacing w:after="200" w:line="276" w:lineRule="auto"/>
        <w:jc w:val="both"/>
      </w:pPr>
      <w:r>
        <w:rPr>
          <w:noProof/>
          <w:lang w:val="en-GB" w:eastAsia="en-GB"/>
        </w:rPr>
        <w:drawing>
          <wp:inline distT="0" distB="0" distL="0" distR="0" wp14:anchorId="37DA54DC" wp14:editId="45042169">
            <wp:extent cx="4448175" cy="2171700"/>
            <wp:effectExtent l="0" t="0" r="9525" b="0"/>
            <wp:docPr id="14" name="Graf 14">
              <a:extLst xmlns:a="http://schemas.openxmlformats.org/drawingml/2006/main">
                <a:ext uri="{FF2B5EF4-FFF2-40B4-BE49-F238E27FC236}">
                  <a16:creationId xmlns:a16="http://schemas.microsoft.com/office/drawing/2014/main" id="{2CE64B24-4CE3-4877-AE0F-62808D65FE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948839D" w14:textId="770F5982" w:rsidR="006B5C79" w:rsidRPr="00BE4E94" w:rsidRDefault="006B5C79" w:rsidP="006B5C79">
      <w:pPr>
        <w:pStyle w:val="Popis"/>
        <w:jc w:val="both"/>
        <w:rPr>
          <w:b/>
          <w:i w:val="0"/>
          <w:color w:val="auto"/>
          <w:szCs w:val="24"/>
        </w:rPr>
      </w:pPr>
      <w:r w:rsidRPr="00BE4E94">
        <w:rPr>
          <w:b/>
          <w:i w:val="0"/>
          <w:color w:val="auto"/>
        </w:rPr>
        <w:t xml:space="preserve">Graf </w:t>
      </w:r>
      <w:r w:rsidRPr="00BE4E94">
        <w:rPr>
          <w:b/>
          <w:i w:val="0"/>
          <w:color w:val="auto"/>
        </w:rPr>
        <w:fldChar w:fldCharType="begin"/>
      </w:r>
      <w:r w:rsidRPr="00BE4E94">
        <w:rPr>
          <w:b/>
          <w:i w:val="0"/>
          <w:color w:val="auto"/>
        </w:rPr>
        <w:instrText xml:space="preserve"> SEQ Graf \* ARABIC </w:instrText>
      </w:r>
      <w:r w:rsidRPr="00BE4E94">
        <w:rPr>
          <w:b/>
          <w:i w:val="0"/>
          <w:color w:val="auto"/>
        </w:rPr>
        <w:fldChar w:fldCharType="separate"/>
      </w:r>
      <w:r w:rsidR="00076161">
        <w:rPr>
          <w:b/>
          <w:i w:val="0"/>
          <w:noProof/>
          <w:color w:val="auto"/>
        </w:rPr>
        <w:t>6</w:t>
      </w:r>
      <w:r w:rsidRPr="00BE4E94">
        <w:rPr>
          <w:b/>
          <w:i w:val="0"/>
          <w:color w:val="auto"/>
        </w:rPr>
        <w:fldChar w:fldCharType="end"/>
      </w:r>
      <w:r w:rsidRPr="00BE4E94">
        <w:rPr>
          <w:b/>
          <w:i w:val="0"/>
          <w:color w:val="auto"/>
        </w:rPr>
        <w:t>. Vývoj hodnôt indexu starnutia v období od 1996-2016</w:t>
      </w:r>
      <w:r>
        <w:rPr>
          <w:b/>
          <w:i w:val="0"/>
          <w:color w:val="auto"/>
        </w:rPr>
        <w:t xml:space="preserve"> v jednotlivých častiach NP Slovenský raj. Zdroj: Vlastné spracovanie KRI podľa ŠÚ SR, 2018.</w:t>
      </w:r>
    </w:p>
    <w:p w14:paraId="1DEE07D6" w14:textId="77777777" w:rsidR="006B5C79" w:rsidRDefault="006B5C79" w:rsidP="006B5C79">
      <w:pPr>
        <w:spacing w:after="200" w:line="276" w:lineRule="auto"/>
        <w:jc w:val="both"/>
        <w:rPr>
          <w:szCs w:val="24"/>
        </w:rPr>
      </w:pPr>
    </w:p>
    <w:p w14:paraId="1662A677" w14:textId="5E84ABC2" w:rsidR="006B5C79" w:rsidRPr="009441E3" w:rsidRDefault="009441E3" w:rsidP="009441E3">
      <w:pPr>
        <w:rPr>
          <w:b/>
          <w:i/>
        </w:rPr>
      </w:pPr>
      <w:r>
        <w:rPr>
          <w:b/>
          <w:i/>
        </w:rPr>
        <w:t>Vzdelanostná štruktúra</w:t>
      </w:r>
    </w:p>
    <w:p w14:paraId="3E29FE2B" w14:textId="0ECA453E" w:rsidR="006B5C79" w:rsidRPr="006F1B6F" w:rsidRDefault="00DF64A7" w:rsidP="006F1B6F">
      <w:pPr>
        <w:spacing w:line="276" w:lineRule="auto"/>
        <w:jc w:val="both"/>
        <w:rPr>
          <w:b/>
          <w:sz w:val="18"/>
          <w:szCs w:val="18"/>
        </w:rPr>
      </w:pPr>
      <w:r w:rsidRPr="00196207">
        <w:rPr>
          <w:noProof/>
          <w:lang w:val="en-GB" w:eastAsia="en-GB"/>
        </w:rPr>
        <w:lastRenderedPageBreak/>
        <w:drawing>
          <wp:anchor distT="0" distB="0" distL="114300" distR="114300" simplePos="0" relativeHeight="251669504" behindDoc="0" locked="0" layoutInCell="1" allowOverlap="1" wp14:anchorId="7EA0E75F" wp14:editId="00CF20D6">
            <wp:simplePos x="0" y="0"/>
            <wp:positionH relativeFrom="margin">
              <wp:align>left</wp:align>
            </wp:positionH>
            <wp:positionV relativeFrom="paragraph">
              <wp:posOffset>915035</wp:posOffset>
            </wp:positionV>
            <wp:extent cx="4057650" cy="2247900"/>
            <wp:effectExtent l="0" t="0" r="0" b="0"/>
            <wp:wrapTopAndBottom/>
            <wp:docPr id="2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9F5279">
        <w:t xml:space="preserve">Existuje </w:t>
      </w:r>
      <w:r w:rsidR="006F1B6F">
        <w:t>predpoklad</w:t>
      </w:r>
      <w:r w:rsidR="009F5279">
        <w:t xml:space="preserve">, </w:t>
      </w:r>
      <w:r w:rsidR="00C81947">
        <w:rPr>
          <w:rFonts w:ascii="Calibri" w:hAnsi="Calibri"/>
          <w:color w:val="000000"/>
          <w:shd w:val="clear" w:color="auto" w:fill="FFFFFF"/>
        </w:rPr>
        <w:t>obyvateľstvo s vyššou socioekonomickou pozíciou (odhadovanou</w:t>
      </w:r>
      <w:r w:rsidR="00C41A23">
        <w:rPr>
          <w:rFonts w:ascii="Calibri" w:hAnsi="Calibri"/>
          <w:color w:val="000000"/>
          <w:shd w:val="clear" w:color="auto" w:fill="FFFFFF"/>
        </w:rPr>
        <w:t xml:space="preserve"> o.i. aj</w:t>
      </w:r>
      <w:r w:rsidR="00C81947">
        <w:rPr>
          <w:rFonts w:ascii="Calibri" w:hAnsi="Calibri"/>
          <w:color w:val="000000"/>
          <w:shd w:val="clear" w:color="auto" w:fill="FFFFFF"/>
        </w:rPr>
        <w:t xml:space="preserve"> podľa výšky dosiahnutého vzdelania) je </w:t>
      </w:r>
      <w:r w:rsidR="00C41A23">
        <w:rPr>
          <w:rFonts w:ascii="Calibri" w:hAnsi="Calibri"/>
          <w:color w:val="000000"/>
          <w:shd w:val="clear" w:color="auto" w:fill="FFFFFF"/>
        </w:rPr>
        <w:t xml:space="preserve">na dopady zmeny klímy </w:t>
      </w:r>
      <w:r w:rsidR="00C81947">
        <w:rPr>
          <w:rFonts w:ascii="Calibri" w:hAnsi="Calibri"/>
          <w:color w:val="000000"/>
          <w:shd w:val="clear" w:color="auto" w:fill="FFFFFF"/>
        </w:rPr>
        <w:t xml:space="preserve">zraniteľné </w:t>
      </w:r>
      <w:r w:rsidR="00C41A23">
        <w:rPr>
          <w:rFonts w:ascii="Calibri" w:hAnsi="Calibri"/>
          <w:color w:val="000000"/>
          <w:shd w:val="clear" w:color="auto" w:fill="FFFFFF"/>
        </w:rPr>
        <w:t>menej.</w:t>
      </w:r>
      <w:r w:rsidR="000A5E63">
        <w:rPr>
          <w:rFonts w:ascii="Calibri" w:hAnsi="Calibri"/>
          <w:color w:val="000000"/>
          <w:shd w:val="clear" w:color="auto" w:fill="FFFFFF"/>
        </w:rPr>
        <w:t xml:space="preserve"> </w:t>
      </w:r>
      <w:r w:rsidR="00A65B01" w:rsidRPr="00C87C43">
        <w:t xml:space="preserve">Nasledujúce </w:t>
      </w:r>
      <w:r w:rsidR="00A65B01">
        <w:t>grafy</w:t>
      </w:r>
      <w:r w:rsidR="00A65B01" w:rsidRPr="00C87C43">
        <w:t xml:space="preserve"> uvádzajú vzdelanostnú štruktúru obyvateľstva v produktívnom a poproduktívnom veku v severnej a južnej časti Slovenského raja</w:t>
      </w:r>
      <w:r w:rsidR="00A65B01">
        <w:t xml:space="preserve"> za rok 2011 (SODB 2011).</w:t>
      </w:r>
    </w:p>
    <w:p w14:paraId="6C089A73" w14:textId="6A7E6A8B" w:rsidR="006B5C79" w:rsidRPr="000E57F3" w:rsidRDefault="006B5C79" w:rsidP="006B5C79">
      <w:pPr>
        <w:pStyle w:val="Popis"/>
        <w:keepNext/>
        <w:spacing w:line="276" w:lineRule="auto"/>
      </w:pPr>
      <w:bookmarkStart w:id="9" w:name="_Toc401066918"/>
      <w:r w:rsidRPr="00A87D7F">
        <w:rPr>
          <w:b/>
          <w:i w:val="0"/>
          <w:color w:val="auto"/>
        </w:rPr>
        <w:t xml:space="preserve">Graf </w:t>
      </w:r>
      <w:r w:rsidRPr="00A87D7F">
        <w:rPr>
          <w:b/>
          <w:i w:val="0"/>
          <w:color w:val="auto"/>
        </w:rPr>
        <w:fldChar w:fldCharType="begin"/>
      </w:r>
      <w:r w:rsidRPr="00A87D7F">
        <w:rPr>
          <w:b/>
          <w:i w:val="0"/>
          <w:color w:val="auto"/>
        </w:rPr>
        <w:instrText xml:space="preserve"> SEQ Graf \* ARABIC </w:instrText>
      </w:r>
      <w:r w:rsidRPr="00A87D7F">
        <w:rPr>
          <w:b/>
          <w:i w:val="0"/>
          <w:color w:val="auto"/>
        </w:rPr>
        <w:fldChar w:fldCharType="separate"/>
      </w:r>
      <w:r w:rsidR="00076161">
        <w:rPr>
          <w:b/>
          <w:i w:val="0"/>
          <w:noProof/>
          <w:color w:val="auto"/>
        </w:rPr>
        <w:t>7</w:t>
      </w:r>
      <w:r w:rsidRPr="00A87D7F">
        <w:rPr>
          <w:b/>
          <w:i w:val="0"/>
          <w:color w:val="auto"/>
        </w:rPr>
        <w:fldChar w:fldCharType="end"/>
      </w:r>
      <w:r w:rsidRPr="00A87D7F">
        <w:rPr>
          <w:b/>
          <w:i w:val="0"/>
          <w:color w:val="auto"/>
        </w:rPr>
        <w:t>. Vzdelanostná štruktúra obyvateľov obcí v severnej časti Slovenského raja. Zdroj: SOBD 2011, vlastné spracovanie KRI, Košice</w:t>
      </w:r>
      <w:bookmarkEnd w:id="9"/>
      <w:r w:rsidRPr="00A87D7F">
        <w:rPr>
          <w:b/>
          <w:i w:val="0"/>
          <w:color w:val="auto"/>
        </w:rPr>
        <w:t>.</w:t>
      </w:r>
    </w:p>
    <w:p w14:paraId="211A1E06" w14:textId="77777777" w:rsidR="006B5C79" w:rsidRDefault="006B5C79" w:rsidP="006B5C79">
      <w:pPr>
        <w:autoSpaceDE w:val="0"/>
        <w:spacing w:after="200" w:line="276" w:lineRule="auto"/>
        <w:jc w:val="both"/>
        <w:rPr>
          <w:szCs w:val="18"/>
        </w:rPr>
      </w:pPr>
      <w:r>
        <w:rPr>
          <w:szCs w:val="18"/>
        </w:rPr>
        <w:t xml:space="preserve">Najväčší podiel obyvateľov </w:t>
      </w:r>
      <w:r w:rsidRPr="00D47182">
        <w:rPr>
          <w:szCs w:val="18"/>
        </w:rPr>
        <w:t>severnej časti</w:t>
      </w:r>
      <w:r>
        <w:rPr>
          <w:szCs w:val="18"/>
        </w:rPr>
        <w:t xml:space="preserve"> Slovenského raja tvoria obyvatelia so </w:t>
      </w:r>
      <w:r w:rsidRPr="00483AA5">
        <w:rPr>
          <w:b/>
          <w:szCs w:val="18"/>
        </w:rPr>
        <w:t>základným vzdelaním (</w:t>
      </w:r>
      <w:r w:rsidRPr="00483AA5">
        <w:rPr>
          <w:b/>
          <w:i/>
          <w:szCs w:val="18"/>
        </w:rPr>
        <w:t>25,03%</w:t>
      </w:r>
      <w:r w:rsidRPr="00483AA5">
        <w:rPr>
          <w:b/>
          <w:szCs w:val="18"/>
        </w:rPr>
        <w:t>) a bez školského vzdelania (</w:t>
      </w:r>
      <w:r w:rsidRPr="00483AA5">
        <w:rPr>
          <w:b/>
          <w:i/>
          <w:szCs w:val="18"/>
        </w:rPr>
        <w:t>23,24%</w:t>
      </w:r>
      <w:r w:rsidRPr="00483AA5">
        <w:rPr>
          <w:b/>
          <w:szCs w:val="18"/>
        </w:rPr>
        <w:t>)</w:t>
      </w:r>
      <w:r>
        <w:rPr>
          <w:szCs w:val="18"/>
        </w:rPr>
        <w:t xml:space="preserve">. Dokopy tvoria až </w:t>
      </w:r>
      <w:r w:rsidRPr="009E7D52">
        <w:rPr>
          <w:b/>
          <w:i/>
          <w:szCs w:val="18"/>
        </w:rPr>
        <w:t>48,27%</w:t>
      </w:r>
      <w:r>
        <w:rPr>
          <w:szCs w:val="18"/>
        </w:rPr>
        <w:t xml:space="preserve"> z celkového počtu obyvateľov severnej časti Slovenského raja. Pre porovnanie, v danom území žije len </w:t>
      </w:r>
      <w:r w:rsidRPr="009E7D52">
        <w:rPr>
          <w:b/>
          <w:i/>
          <w:szCs w:val="18"/>
        </w:rPr>
        <w:t>7,4%</w:t>
      </w:r>
      <w:r>
        <w:rPr>
          <w:szCs w:val="18"/>
        </w:rPr>
        <w:t xml:space="preserve"> obyvateľov s vysokoškolským vzdelaním.</w:t>
      </w:r>
    </w:p>
    <w:p w14:paraId="01FE838E" w14:textId="77777777" w:rsidR="006B5C79" w:rsidRPr="00280502" w:rsidRDefault="006B5C79" w:rsidP="006B5C79">
      <w:pPr>
        <w:autoSpaceDE w:val="0"/>
        <w:spacing w:after="200" w:line="276" w:lineRule="auto"/>
        <w:jc w:val="both"/>
        <w:rPr>
          <w:szCs w:val="18"/>
        </w:rPr>
      </w:pPr>
      <w:r>
        <w:rPr>
          <w:szCs w:val="18"/>
        </w:rPr>
        <w:t>Najviac obyvateľov bez vzdelania a so základným vzdelaním v porovnaní s celkovým počtom obyvateľov v danej obci žije v obciach Vydrník (</w:t>
      </w:r>
      <w:r w:rsidRPr="00FB66EE">
        <w:rPr>
          <w:b/>
          <w:i/>
          <w:szCs w:val="18"/>
        </w:rPr>
        <w:t>69,27%</w:t>
      </w:r>
      <w:r>
        <w:rPr>
          <w:szCs w:val="18"/>
        </w:rPr>
        <w:t xml:space="preserve"> z celkového počtu obyvateľov obce), Betlanovce (</w:t>
      </w:r>
      <w:r>
        <w:rPr>
          <w:b/>
          <w:i/>
          <w:szCs w:val="18"/>
        </w:rPr>
        <w:t>58,89</w:t>
      </w:r>
      <w:r w:rsidRPr="00FB66EE">
        <w:rPr>
          <w:b/>
          <w:i/>
          <w:szCs w:val="18"/>
        </w:rPr>
        <w:t>%</w:t>
      </w:r>
      <w:r>
        <w:rPr>
          <w:szCs w:val="18"/>
        </w:rPr>
        <w:t xml:space="preserve"> z celkového počtu obyvateľov obce), Letanovce (</w:t>
      </w:r>
      <w:r>
        <w:rPr>
          <w:b/>
          <w:i/>
          <w:szCs w:val="18"/>
        </w:rPr>
        <w:t>58,80</w:t>
      </w:r>
      <w:r w:rsidRPr="00FB66EE">
        <w:rPr>
          <w:b/>
          <w:i/>
          <w:szCs w:val="18"/>
        </w:rPr>
        <w:t>%</w:t>
      </w:r>
      <w:r>
        <w:rPr>
          <w:szCs w:val="18"/>
        </w:rPr>
        <w:t xml:space="preserve"> z celkového počtu obyvateľov obce), Hranovnica (</w:t>
      </w:r>
      <w:r>
        <w:rPr>
          <w:b/>
          <w:i/>
          <w:szCs w:val="18"/>
        </w:rPr>
        <w:t>56,89</w:t>
      </w:r>
      <w:r w:rsidRPr="00FB66EE">
        <w:rPr>
          <w:b/>
          <w:i/>
          <w:szCs w:val="18"/>
        </w:rPr>
        <w:t>%</w:t>
      </w:r>
      <w:r>
        <w:rPr>
          <w:szCs w:val="18"/>
        </w:rPr>
        <w:t xml:space="preserve"> z celkového počtu obyvateľov obce) a Spišský Štiavnik (</w:t>
      </w:r>
      <w:r>
        <w:rPr>
          <w:b/>
          <w:i/>
          <w:szCs w:val="18"/>
        </w:rPr>
        <w:t>53,81</w:t>
      </w:r>
      <w:r w:rsidRPr="00FB66EE">
        <w:rPr>
          <w:b/>
          <w:i/>
          <w:szCs w:val="18"/>
        </w:rPr>
        <w:t>%</w:t>
      </w:r>
      <w:r>
        <w:rPr>
          <w:szCs w:val="18"/>
        </w:rPr>
        <w:t xml:space="preserve"> z celkového počtu obyvateľov obce).</w:t>
      </w:r>
    </w:p>
    <w:p w14:paraId="6C7F501A" w14:textId="77777777" w:rsidR="00DF64A7" w:rsidRDefault="006B5C79" w:rsidP="006B5C79">
      <w:pPr>
        <w:pStyle w:val="Popis"/>
        <w:keepNext/>
        <w:spacing w:line="276" w:lineRule="auto"/>
      </w:pPr>
      <w:r w:rsidRPr="00196207">
        <w:rPr>
          <w:noProof/>
          <w:sz w:val="24"/>
          <w:szCs w:val="24"/>
          <w:lang w:val="en-GB" w:eastAsia="en-GB"/>
        </w:rPr>
        <w:drawing>
          <wp:inline distT="0" distB="0" distL="0" distR="0" wp14:anchorId="0C4046FA" wp14:editId="298AE4C9">
            <wp:extent cx="4105275" cy="2200275"/>
            <wp:effectExtent l="0" t="0" r="9525" b="9525"/>
            <wp:docPr id="31"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bookmarkStart w:id="10" w:name="_Toc401066919"/>
      <w:r w:rsidRPr="00D47182">
        <w:t xml:space="preserve"> </w:t>
      </w:r>
    </w:p>
    <w:p w14:paraId="1C099AFB" w14:textId="69152D7F" w:rsidR="006B5C79" w:rsidRPr="000E57F3" w:rsidRDefault="006B5C79" w:rsidP="006B5C79">
      <w:pPr>
        <w:pStyle w:val="Popis"/>
        <w:keepNext/>
        <w:spacing w:line="276" w:lineRule="auto"/>
      </w:pPr>
      <w:r w:rsidRPr="00D47182">
        <w:rPr>
          <w:b/>
          <w:i w:val="0"/>
          <w:color w:val="auto"/>
        </w:rPr>
        <w:t xml:space="preserve">Graf </w:t>
      </w:r>
      <w:r w:rsidRPr="00D47182">
        <w:rPr>
          <w:b/>
          <w:i w:val="0"/>
          <w:color w:val="auto"/>
        </w:rPr>
        <w:fldChar w:fldCharType="begin"/>
      </w:r>
      <w:r w:rsidRPr="00D47182">
        <w:rPr>
          <w:b/>
          <w:i w:val="0"/>
          <w:color w:val="auto"/>
        </w:rPr>
        <w:instrText xml:space="preserve"> SEQ Graf \* ARABIC </w:instrText>
      </w:r>
      <w:r w:rsidRPr="00D47182">
        <w:rPr>
          <w:b/>
          <w:i w:val="0"/>
          <w:color w:val="auto"/>
        </w:rPr>
        <w:fldChar w:fldCharType="separate"/>
      </w:r>
      <w:r w:rsidR="00076161">
        <w:rPr>
          <w:b/>
          <w:i w:val="0"/>
          <w:noProof/>
          <w:color w:val="auto"/>
        </w:rPr>
        <w:t>8</w:t>
      </w:r>
      <w:r w:rsidRPr="00D47182">
        <w:rPr>
          <w:b/>
          <w:i w:val="0"/>
          <w:noProof/>
          <w:color w:val="auto"/>
        </w:rPr>
        <w:fldChar w:fldCharType="end"/>
      </w:r>
      <w:r w:rsidRPr="00D47182">
        <w:rPr>
          <w:b/>
          <w:i w:val="0"/>
          <w:color w:val="auto"/>
        </w:rPr>
        <w:t>: Vzdelanostná štruktúra obyvateľov obcí v južnej časti Slovenského raja</w:t>
      </w:r>
      <w:bookmarkEnd w:id="10"/>
      <w:r w:rsidRPr="00D47182">
        <w:rPr>
          <w:b/>
          <w:i w:val="0"/>
          <w:color w:val="auto"/>
        </w:rPr>
        <w:t>. Zdroj: SOBD 2011, vlastné spracovanie KRI, Košice.</w:t>
      </w:r>
    </w:p>
    <w:p w14:paraId="378B5219" w14:textId="77777777" w:rsidR="006B5C79" w:rsidRDefault="006B5C79" w:rsidP="006B5C79">
      <w:pPr>
        <w:autoSpaceDE w:val="0"/>
        <w:spacing w:after="200" w:line="276" w:lineRule="auto"/>
        <w:jc w:val="both"/>
        <w:rPr>
          <w:szCs w:val="18"/>
        </w:rPr>
      </w:pPr>
      <w:r>
        <w:rPr>
          <w:szCs w:val="18"/>
        </w:rPr>
        <w:t xml:space="preserve">Podobná situácia vo vzdelaní obyvateľstva je aj v južnej časti územia. Najväčší podiel obyvateľov </w:t>
      </w:r>
      <w:r w:rsidRPr="003170A7">
        <w:rPr>
          <w:szCs w:val="18"/>
        </w:rPr>
        <w:t>južnej časti</w:t>
      </w:r>
      <w:r>
        <w:rPr>
          <w:szCs w:val="18"/>
        </w:rPr>
        <w:t xml:space="preserve"> Slovenského raja tvoria obyvatelia so </w:t>
      </w:r>
      <w:r w:rsidRPr="00483AA5">
        <w:rPr>
          <w:b/>
          <w:szCs w:val="18"/>
        </w:rPr>
        <w:t>základným vzdelaním (</w:t>
      </w:r>
      <w:r w:rsidRPr="00483AA5">
        <w:rPr>
          <w:b/>
          <w:i/>
          <w:szCs w:val="18"/>
        </w:rPr>
        <w:t>23,78%</w:t>
      </w:r>
      <w:r w:rsidRPr="00483AA5">
        <w:rPr>
          <w:b/>
          <w:szCs w:val="18"/>
        </w:rPr>
        <w:t xml:space="preserve">) a bez školského vzdelania </w:t>
      </w:r>
      <w:r w:rsidRPr="00483AA5">
        <w:rPr>
          <w:b/>
          <w:szCs w:val="18"/>
        </w:rPr>
        <w:lastRenderedPageBreak/>
        <w:t>(</w:t>
      </w:r>
      <w:r w:rsidRPr="00483AA5">
        <w:rPr>
          <w:b/>
          <w:i/>
          <w:szCs w:val="18"/>
        </w:rPr>
        <w:t>21,95%</w:t>
      </w:r>
      <w:r w:rsidRPr="00483AA5">
        <w:rPr>
          <w:b/>
          <w:szCs w:val="18"/>
        </w:rPr>
        <w:t>). Dokopy tvoria</w:t>
      </w:r>
      <w:r>
        <w:rPr>
          <w:szCs w:val="18"/>
        </w:rPr>
        <w:t xml:space="preserve"> </w:t>
      </w:r>
      <w:r>
        <w:rPr>
          <w:b/>
          <w:i/>
          <w:szCs w:val="18"/>
        </w:rPr>
        <w:t>45,73</w:t>
      </w:r>
      <w:r w:rsidRPr="009E7D52">
        <w:rPr>
          <w:b/>
          <w:i/>
          <w:szCs w:val="18"/>
        </w:rPr>
        <w:t>%</w:t>
      </w:r>
      <w:r>
        <w:rPr>
          <w:szCs w:val="18"/>
        </w:rPr>
        <w:t xml:space="preserve"> z celkového počtu obyvateľov južnej časti Slovenského raja a v danom území žije len </w:t>
      </w:r>
      <w:r>
        <w:rPr>
          <w:b/>
          <w:i/>
          <w:szCs w:val="18"/>
        </w:rPr>
        <w:t>6,95</w:t>
      </w:r>
      <w:r w:rsidRPr="009E7D52">
        <w:rPr>
          <w:b/>
          <w:i/>
          <w:szCs w:val="18"/>
        </w:rPr>
        <w:t>%</w:t>
      </w:r>
      <w:r>
        <w:rPr>
          <w:szCs w:val="18"/>
        </w:rPr>
        <w:t xml:space="preserve"> obyvateľov s vysokoškolským vzdelaním.</w:t>
      </w:r>
    </w:p>
    <w:p w14:paraId="149185D0" w14:textId="3464DDE3" w:rsidR="00601149" w:rsidRPr="00A25E53" w:rsidRDefault="006B5C79" w:rsidP="006B5C79">
      <w:pPr>
        <w:autoSpaceDE w:val="0"/>
        <w:spacing w:after="200" w:line="276" w:lineRule="auto"/>
        <w:jc w:val="both"/>
        <w:rPr>
          <w:szCs w:val="18"/>
        </w:rPr>
      </w:pPr>
      <w:r>
        <w:rPr>
          <w:szCs w:val="18"/>
        </w:rPr>
        <w:t>Najviac obyvateľov bez vzdelania a so základným vzdelaním v porovnaní s celkovým počtom obyvateľov v obci žije v obciach Telgárt (</w:t>
      </w:r>
      <w:r>
        <w:rPr>
          <w:b/>
          <w:i/>
          <w:szCs w:val="18"/>
        </w:rPr>
        <w:t>61,32</w:t>
      </w:r>
      <w:r w:rsidRPr="00FB66EE">
        <w:rPr>
          <w:b/>
          <w:i/>
          <w:szCs w:val="18"/>
        </w:rPr>
        <w:t>%</w:t>
      </w:r>
      <w:r>
        <w:rPr>
          <w:szCs w:val="18"/>
        </w:rPr>
        <w:t xml:space="preserve"> z celkového počtu obyvateľov obce), Dobšiná (</w:t>
      </w:r>
      <w:r>
        <w:rPr>
          <w:b/>
          <w:i/>
          <w:szCs w:val="18"/>
        </w:rPr>
        <w:t>47,56</w:t>
      </w:r>
      <w:r w:rsidRPr="00FB66EE">
        <w:rPr>
          <w:b/>
          <w:i/>
          <w:szCs w:val="18"/>
        </w:rPr>
        <w:t>%</w:t>
      </w:r>
      <w:r>
        <w:rPr>
          <w:szCs w:val="18"/>
        </w:rPr>
        <w:t xml:space="preserve"> z celkového počtu obyvateľov obce), Hnilec (</w:t>
      </w:r>
      <w:r>
        <w:rPr>
          <w:b/>
          <w:i/>
          <w:szCs w:val="18"/>
        </w:rPr>
        <w:t>32,29</w:t>
      </w:r>
      <w:r w:rsidRPr="00FB66EE">
        <w:rPr>
          <w:b/>
          <w:i/>
          <w:szCs w:val="18"/>
        </w:rPr>
        <w:t>%</w:t>
      </w:r>
      <w:r>
        <w:rPr>
          <w:szCs w:val="18"/>
        </w:rPr>
        <w:t xml:space="preserve"> z celkového počtu obyvateľov obce) a Vernár (</w:t>
      </w:r>
      <w:r>
        <w:rPr>
          <w:b/>
          <w:i/>
          <w:szCs w:val="18"/>
        </w:rPr>
        <w:t>32,27</w:t>
      </w:r>
      <w:r w:rsidRPr="00FB66EE">
        <w:rPr>
          <w:b/>
          <w:i/>
          <w:szCs w:val="18"/>
        </w:rPr>
        <w:t>%</w:t>
      </w:r>
      <w:r>
        <w:rPr>
          <w:szCs w:val="18"/>
        </w:rPr>
        <w:t xml:space="preserve"> z celkového počtu obyvateľov obce).</w:t>
      </w:r>
    </w:p>
    <w:p w14:paraId="7B1E1740" w14:textId="418C2661" w:rsidR="006B5C79" w:rsidRPr="009441E3" w:rsidRDefault="006B5C79" w:rsidP="009441E3">
      <w:pPr>
        <w:rPr>
          <w:b/>
          <w:i/>
        </w:rPr>
      </w:pPr>
      <w:r w:rsidRPr="009441E3">
        <w:rPr>
          <w:b/>
          <w:i/>
        </w:rPr>
        <w:t>Nezamestnanosť</w:t>
      </w:r>
    </w:p>
    <w:p w14:paraId="6D71C158" w14:textId="014EE580" w:rsidR="00A65B01" w:rsidRDefault="000A5E63" w:rsidP="006B5C79">
      <w:pPr>
        <w:spacing w:before="120" w:after="240" w:line="276" w:lineRule="auto"/>
        <w:jc w:val="both"/>
        <w:rPr>
          <w:rFonts w:ascii="Calibri" w:eastAsia="Times New Roman" w:hAnsi="Calibri" w:cs="Calibri"/>
          <w:szCs w:val="24"/>
        </w:rPr>
      </w:pPr>
      <w:r>
        <w:rPr>
          <w:rFonts w:ascii="Calibri" w:eastAsia="Times New Roman" w:hAnsi="Calibri" w:cs="Calibri"/>
          <w:szCs w:val="24"/>
        </w:rPr>
        <w:t xml:space="preserve">Nezamestnanosť, podobne ako dosiahnuté vzdelanie, indikuje socioekonomickú pozíciu obyvateľstva. Vysoký počet nezamestnaných </w:t>
      </w:r>
      <w:r w:rsidR="006F78B8">
        <w:rPr>
          <w:rFonts w:ascii="Calibri" w:eastAsia="Times New Roman" w:hAnsi="Calibri" w:cs="Calibri"/>
          <w:szCs w:val="24"/>
        </w:rPr>
        <w:t>v posudzovaných obciach (</w:t>
      </w:r>
      <w:r>
        <w:rPr>
          <w:rFonts w:ascii="Calibri" w:eastAsia="Times New Roman" w:hAnsi="Calibri" w:cs="Calibri"/>
          <w:szCs w:val="24"/>
        </w:rPr>
        <w:t>alebo miery</w:t>
      </w:r>
      <w:r w:rsidR="00A65B01">
        <w:rPr>
          <w:rFonts w:ascii="Calibri" w:eastAsia="Times New Roman" w:hAnsi="Calibri" w:cs="Calibri"/>
          <w:szCs w:val="24"/>
        </w:rPr>
        <w:t xml:space="preserve"> evidovanej</w:t>
      </w:r>
      <w:r>
        <w:rPr>
          <w:rFonts w:ascii="Calibri" w:eastAsia="Times New Roman" w:hAnsi="Calibri" w:cs="Calibri"/>
          <w:szCs w:val="24"/>
        </w:rPr>
        <w:t xml:space="preserve"> nezamestnanosti </w:t>
      </w:r>
      <w:r w:rsidR="006F78B8">
        <w:rPr>
          <w:rFonts w:ascii="Calibri" w:eastAsia="Times New Roman" w:hAnsi="Calibri" w:cs="Calibri"/>
          <w:szCs w:val="24"/>
        </w:rPr>
        <w:t xml:space="preserve">v príslušných okresoch) </w:t>
      </w:r>
      <w:r w:rsidR="00A65B01">
        <w:rPr>
          <w:rFonts w:ascii="Calibri" w:eastAsia="Times New Roman" w:hAnsi="Calibri" w:cs="Calibri"/>
          <w:szCs w:val="24"/>
        </w:rPr>
        <w:t xml:space="preserve">predstavuje väčšiu zraniteľnosť </w:t>
      </w:r>
      <w:r w:rsidR="006F78B8">
        <w:rPr>
          <w:rFonts w:ascii="Calibri" w:eastAsia="Times New Roman" w:hAnsi="Calibri" w:cs="Calibri"/>
          <w:szCs w:val="24"/>
        </w:rPr>
        <w:t>na negatívne dopady zmey klímy</w:t>
      </w:r>
      <w:r w:rsidR="00A65B01">
        <w:rPr>
          <w:rFonts w:ascii="Calibri" w:eastAsia="Times New Roman" w:hAnsi="Calibri" w:cs="Calibri"/>
          <w:szCs w:val="24"/>
        </w:rPr>
        <w:t xml:space="preserve"> v území.</w:t>
      </w:r>
      <w:r>
        <w:rPr>
          <w:rFonts w:ascii="Calibri" w:eastAsia="Times New Roman" w:hAnsi="Calibri" w:cs="Calibri"/>
          <w:szCs w:val="24"/>
        </w:rPr>
        <w:t xml:space="preserve"> </w:t>
      </w:r>
    </w:p>
    <w:p w14:paraId="4C6EF5AC" w14:textId="40133F89" w:rsidR="006B5C79" w:rsidRPr="00755EF3" w:rsidRDefault="006B5C79" w:rsidP="006B5C79">
      <w:pPr>
        <w:spacing w:before="120" w:after="240" w:line="276" w:lineRule="auto"/>
        <w:jc w:val="both"/>
        <w:rPr>
          <w:rFonts w:ascii="Calibri" w:eastAsia="Times New Roman" w:hAnsi="Calibri" w:cs="Calibri"/>
          <w:szCs w:val="24"/>
        </w:rPr>
      </w:pPr>
      <w:r w:rsidRPr="00F56F3A">
        <w:rPr>
          <w:rFonts w:ascii="Calibri" w:eastAsia="Times New Roman" w:hAnsi="Calibri" w:cs="Calibri"/>
          <w:szCs w:val="24"/>
        </w:rPr>
        <w:t>Celkový počet evidovaných uchádzačov o zamestnanie (UoZ) v obciach</w:t>
      </w:r>
      <w:r>
        <w:rPr>
          <w:rFonts w:ascii="Calibri" w:eastAsia="Times New Roman" w:hAnsi="Calibri" w:cs="Calibri"/>
          <w:szCs w:val="24"/>
        </w:rPr>
        <w:t xml:space="preserve"> v severnej časti NP Slovenský </w:t>
      </w:r>
      <w:r w:rsidRPr="00F56F3A">
        <w:rPr>
          <w:rFonts w:ascii="Calibri" w:eastAsia="Times New Roman" w:hAnsi="Calibri" w:cs="Calibri"/>
          <w:szCs w:val="24"/>
        </w:rPr>
        <w:t>raj bol ku konc</w:t>
      </w:r>
      <w:r>
        <w:rPr>
          <w:rFonts w:ascii="Calibri" w:eastAsia="Times New Roman" w:hAnsi="Calibri" w:cs="Calibri"/>
          <w:szCs w:val="24"/>
        </w:rPr>
        <w:t>u</w:t>
      </w:r>
      <w:r w:rsidRPr="00F56F3A">
        <w:rPr>
          <w:rFonts w:ascii="Calibri" w:eastAsia="Times New Roman" w:hAnsi="Calibri" w:cs="Calibri"/>
          <w:szCs w:val="24"/>
        </w:rPr>
        <w:t xml:space="preserve"> roka 201</w:t>
      </w:r>
      <w:r>
        <w:rPr>
          <w:rFonts w:ascii="Calibri" w:eastAsia="Times New Roman" w:hAnsi="Calibri" w:cs="Calibri"/>
          <w:szCs w:val="24"/>
        </w:rPr>
        <w:t>6</w:t>
      </w:r>
      <w:r w:rsidRPr="00F56F3A">
        <w:rPr>
          <w:rFonts w:ascii="Calibri" w:eastAsia="Times New Roman" w:hAnsi="Calibri" w:cs="Calibri"/>
          <w:szCs w:val="24"/>
        </w:rPr>
        <w:t xml:space="preserve"> - </w:t>
      </w:r>
      <w:r>
        <w:rPr>
          <w:rFonts w:ascii="Calibri" w:eastAsia="Times New Roman" w:hAnsi="Calibri" w:cs="Calibri"/>
          <w:szCs w:val="24"/>
        </w:rPr>
        <w:t>2579</w:t>
      </w:r>
      <w:r w:rsidRPr="00F56F3A">
        <w:rPr>
          <w:rFonts w:ascii="Calibri" w:eastAsia="Times New Roman" w:hAnsi="Calibri" w:cs="Calibri"/>
          <w:szCs w:val="24"/>
        </w:rPr>
        <w:t xml:space="preserve"> osôb (</w:t>
      </w:r>
      <w:r w:rsidR="006A6459">
        <w:t>Tab.5</w:t>
      </w:r>
      <w:r w:rsidRPr="00F56F3A">
        <w:rPr>
          <w:rFonts w:ascii="Calibri" w:eastAsia="Times New Roman" w:hAnsi="Calibri" w:cs="Calibri"/>
          <w:szCs w:val="24"/>
        </w:rPr>
        <w:t>). Podiel týchto osôb n</w:t>
      </w:r>
      <w:r>
        <w:rPr>
          <w:rFonts w:ascii="Calibri" w:eastAsia="Times New Roman" w:hAnsi="Calibri" w:cs="Calibri"/>
          <w:szCs w:val="24"/>
        </w:rPr>
        <w:t xml:space="preserve">a produktívnom obyvateľstve je  </w:t>
      </w:r>
      <w:r w:rsidRPr="00F56F3A">
        <w:rPr>
          <w:rFonts w:ascii="Calibri" w:eastAsia="Times New Roman" w:hAnsi="Calibri" w:cs="Calibri"/>
          <w:szCs w:val="24"/>
        </w:rPr>
        <w:t xml:space="preserve">takmer </w:t>
      </w:r>
      <w:r>
        <w:rPr>
          <w:rFonts w:ascii="Calibri" w:eastAsia="Times New Roman" w:hAnsi="Calibri" w:cs="Calibri"/>
          <w:szCs w:val="24"/>
        </w:rPr>
        <w:t>15,3</w:t>
      </w:r>
      <w:r w:rsidRPr="00F56F3A">
        <w:rPr>
          <w:rFonts w:ascii="Calibri" w:eastAsia="Times New Roman" w:hAnsi="Calibri" w:cs="Calibri"/>
          <w:szCs w:val="24"/>
        </w:rPr>
        <w:t>% (</w:t>
      </w:r>
      <w:r w:rsidR="00DA5CAA">
        <w:t>Tab.6</w:t>
      </w:r>
      <w:r>
        <w:t>)</w:t>
      </w:r>
      <w:r w:rsidRPr="00F56F3A">
        <w:rPr>
          <w:rFonts w:ascii="Calibri" w:eastAsia="Times New Roman" w:hAnsi="Calibri" w:cs="Calibri"/>
          <w:szCs w:val="24"/>
        </w:rPr>
        <w:t xml:space="preserve">. To znamená, že </w:t>
      </w:r>
      <w:r>
        <w:rPr>
          <w:rFonts w:ascii="Calibri" w:eastAsia="Times New Roman" w:hAnsi="Calibri" w:cs="Calibri"/>
          <w:szCs w:val="24"/>
        </w:rPr>
        <w:t>15,3</w:t>
      </w:r>
      <w:r w:rsidRPr="00F56F3A">
        <w:rPr>
          <w:rFonts w:ascii="Calibri" w:eastAsia="Times New Roman" w:hAnsi="Calibri" w:cs="Calibri"/>
          <w:szCs w:val="24"/>
        </w:rPr>
        <w:t>% osôb, od ktorých sa oča</w:t>
      </w:r>
      <w:r>
        <w:rPr>
          <w:rFonts w:ascii="Calibri" w:eastAsia="Times New Roman" w:hAnsi="Calibri" w:cs="Calibri"/>
          <w:szCs w:val="24"/>
        </w:rPr>
        <w:t xml:space="preserve">káva, že budú pracovať, nie je </w:t>
      </w:r>
      <w:r w:rsidRPr="00F56F3A">
        <w:rPr>
          <w:rFonts w:ascii="Calibri" w:eastAsia="Times New Roman" w:hAnsi="Calibri" w:cs="Calibri"/>
          <w:szCs w:val="24"/>
        </w:rPr>
        <w:t>ekonomicky aktívna.</w:t>
      </w:r>
      <w:r>
        <w:rPr>
          <w:rFonts w:ascii="Calibri" w:eastAsia="Times New Roman" w:hAnsi="Calibri" w:cs="Calibri"/>
          <w:szCs w:val="24"/>
        </w:rPr>
        <w:t xml:space="preserve"> V obciach južnej časti Slovenského raja je situácia v rámci tohto ukazovateľa mierne horšia -  z osôb </w:t>
      </w:r>
      <w:r w:rsidRPr="00D0629F">
        <w:rPr>
          <w:rFonts w:ascii="Calibri" w:eastAsia="Times New Roman" w:hAnsi="Calibri" w:cs="Calibri"/>
          <w:szCs w:val="24"/>
        </w:rPr>
        <w:t xml:space="preserve">ekonomicky produktívnych je bez práce  </w:t>
      </w:r>
      <w:r>
        <w:rPr>
          <w:rFonts w:ascii="Calibri" w:eastAsia="Times New Roman" w:hAnsi="Calibri" w:cs="Calibri"/>
          <w:szCs w:val="24"/>
        </w:rPr>
        <w:t>17,4</w:t>
      </w:r>
      <w:r w:rsidRPr="00D0629F">
        <w:rPr>
          <w:rFonts w:ascii="Calibri" w:eastAsia="Times New Roman" w:hAnsi="Calibri" w:cs="Calibri"/>
          <w:szCs w:val="24"/>
        </w:rPr>
        <w:t xml:space="preserve"> % obyvateľstva  (</w:t>
      </w:r>
      <w:r w:rsidR="00DA5CAA">
        <w:t>Tab. 7</w:t>
      </w:r>
      <w:r>
        <w:t>). pre porovnanie, v Prešovskom samosprávnom kraji je hodnota tohto podielu 11,35% a v rámci celej SR je 7,3%. Miera evidovanej nezamestnanosti k 31.12.2016 bola v najvyššia v okrese Rožňava 20,9%, v okrese Spišská nová Ves 11,31%, v okrese Brezno 9,8% a v okrese Poprad 8,34% (v Prešovskom samosprávnom kraji 13,9% a v rámci celej SR 8,7%).</w:t>
      </w:r>
    </w:p>
    <w:tbl>
      <w:tblPr>
        <w:tblW w:w="9340" w:type="dxa"/>
        <w:tblCellMar>
          <w:left w:w="70" w:type="dxa"/>
          <w:right w:w="70" w:type="dxa"/>
        </w:tblCellMar>
        <w:tblLook w:val="04A0" w:firstRow="1" w:lastRow="0" w:firstColumn="1" w:lastColumn="0" w:noHBand="0" w:noVBand="1"/>
      </w:tblPr>
      <w:tblGrid>
        <w:gridCol w:w="1900"/>
        <w:gridCol w:w="620"/>
        <w:gridCol w:w="620"/>
        <w:gridCol w:w="620"/>
        <w:gridCol w:w="620"/>
        <w:gridCol w:w="620"/>
        <w:gridCol w:w="620"/>
        <w:gridCol w:w="620"/>
        <w:gridCol w:w="620"/>
        <w:gridCol w:w="620"/>
        <w:gridCol w:w="620"/>
        <w:gridCol w:w="620"/>
        <w:gridCol w:w="620"/>
      </w:tblGrid>
      <w:tr w:rsidR="006B5C79" w:rsidRPr="00E30AD0" w14:paraId="5FE3FDE3" w14:textId="77777777" w:rsidTr="000029BC">
        <w:trPr>
          <w:trHeight w:val="240"/>
        </w:trPr>
        <w:tc>
          <w:tcPr>
            <w:tcW w:w="190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7D3B866" w14:textId="77777777" w:rsidR="006B5C79" w:rsidRPr="00E30AD0" w:rsidRDefault="006B5C79" w:rsidP="000029BC">
            <w:pPr>
              <w:spacing w:after="0" w:line="276" w:lineRule="auto"/>
              <w:rPr>
                <w:rFonts w:ascii="Calibri" w:eastAsia="Times New Roman" w:hAnsi="Calibri" w:cs="Calibri"/>
                <w:color w:val="000000"/>
                <w:sz w:val="18"/>
                <w:szCs w:val="18"/>
                <w:lang w:eastAsia="sk-SK"/>
              </w:rPr>
            </w:pPr>
            <w:r w:rsidRPr="00E30AD0">
              <w:rPr>
                <w:rFonts w:ascii="Calibri" w:eastAsia="Times New Roman" w:hAnsi="Calibri" w:cs="Calibri"/>
                <w:color w:val="000000"/>
                <w:sz w:val="18"/>
                <w:szCs w:val="18"/>
                <w:lang w:eastAsia="sk-SK"/>
              </w:rPr>
              <w:t> </w:t>
            </w:r>
          </w:p>
        </w:tc>
        <w:tc>
          <w:tcPr>
            <w:tcW w:w="620" w:type="dxa"/>
            <w:tcBorders>
              <w:top w:val="single" w:sz="4" w:space="0" w:color="auto"/>
              <w:left w:val="nil"/>
              <w:bottom w:val="single" w:sz="4" w:space="0" w:color="auto"/>
              <w:right w:val="single" w:sz="4" w:space="0" w:color="auto"/>
            </w:tcBorders>
            <w:shd w:val="clear" w:color="000000" w:fill="BFBFBF"/>
            <w:noWrap/>
            <w:vAlign w:val="bottom"/>
            <w:hideMark/>
          </w:tcPr>
          <w:p w14:paraId="705616FD" w14:textId="77777777" w:rsidR="006B5C79" w:rsidRPr="00E30AD0" w:rsidRDefault="006B5C79" w:rsidP="000029BC">
            <w:pPr>
              <w:spacing w:after="0" w:line="276" w:lineRule="auto"/>
              <w:jc w:val="center"/>
              <w:rPr>
                <w:rFonts w:ascii="Calibri" w:eastAsia="Times New Roman" w:hAnsi="Calibri" w:cs="Calibri"/>
                <w:color w:val="000000"/>
                <w:sz w:val="18"/>
                <w:szCs w:val="18"/>
                <w:lang w:eastAsia="sk-SK"/>
              </w:rPr>
            </w:pPr>
            <w:r w:rsidRPr="00E30AD0">
              <w:rPr>
                <w:rFonts w:ascii="Calibri" w:eastAsia="Times New Roman" w:hAnsi="Calibri" w:cs="Calibri"/>
                <w:color w:val="000000"/>
                <w:sz w:val="18"/>
                <w:szCs w:val="18"/>
                <w:lang w:eastAsia="sk-SK"/>
              </w:rPr>
              <w:t>2005</w:t>
            </w:r>
          </w:p>
        </w:tc>
        <w:tc>
          <w:tcPr>
            <w:tcW w:w="620" w:type="dxa"/>
            <w:tcBorders>
              <w:top w:val="single" w:sz="4" w:space="0" w:color="auto"/>
              <w:left w:val="nil"/>
              <w:bottom w:val="single" w:sz="4" w:space="0" w:color="auto"/>
              <w:right w:val="single" w:sz="4" w:space="0" w:color="auto"/>
            </w:tcBorders>
            <w:shd w:val="clear" w:color="000000" w:fill="BFBFBF"/>
            <w:noWrap/>
            <w:vAlign w:val="bottom"/>
            <w:hideMark/>
          </w:tcPr>
          <w:p w14:paraId="31BCE45E" w14:textId="77777777" w:rsidR="006B5C79" w:rsidRPr="00E30AD0" w:rsidRDefault="006B5C79" w:rsidP="000029BC">
            <w:pPr>
              <w:spacing w:after="0" w:line="276" w:lineRule="auto"/>
              <w:jc w:val="center"/>
              <w:rPr>
                <w:rFonts w:ascii="Calibri" w:eastAsia="Times New Roman" w:hAnsi="Calibri" w:cs="Calibri"/>
                <w:color w:val="000000"/>
                <w:sz w:val="18"/>
                <w:szCs w:val="18"/>
                <w:lang w:eastAsia="sk-SK"/>
              </w:rPr>
            </w:pPr>
            <w:r w:rsidRPr="00E30AD0">
              <w:rPr>
                <w:rFonts w:ascii="Calibri" w:eastAsia="Times New Roman" w:hAnsi="Calibri" w:cs="Calibri"/>
                <w:color w:val="000000"/>
                <w:sz w:val="18"/>
                <w:szCs w:val="18"/>
                <w:lang w:eastAsia="sk-SK"/>
              </w:rPr>
              <w:t>2006</w:t>
            </w:r>
          </w:p>
        </w:tc>
        <w:tc>
          <w:tcPr>
            <w:tcW w:w="620" w:type="dxa"/>
            <w:tcBorders>
              <w:top w:val="single" w:sz="4" w:space="0" w:color="auto"/>
              <w:left w:val="nil"/>
              <w:bottom w:val="single" w:sz="4" w:space="0" w:color="auto"/>
              <w:right w:val="single" w:sz="4" w:space="0" w:color="auto"/>
            </w:tcBorders>
            <w:shd w:val="clear" w:color="000000" w:fill="BFBFBF"/>
            <w:noWrap/>
            <w:vAlign w:val="bottom"/>
            <w:hideMark/>
          </w:tcPr>
          <w:p w14:paraId="3691B8C0" w14:textId="77777777" w:rsidR="006B5C79" w:rsidRPr="00E30AD0" w:rsidRDefault="006B5C79" w:rsidP="000029BC">
            <w:pPr>
              <w:spacing w:after="0" w:line="276" w:lineRule="auto"/>
              <w:jc w:val="center"/>
              <w:rPr>
                <w:rFonts w:ascii="Calibri" w:eastAsia="Times New Roman" w:hAnsi="Calibri" w:cs="Calibri"/>
                <w:color w:val="000000"/>
                <w:sz w:val="18"/>
                <w:szCs w:val="18"/>
                <w:lang w:eastAsia="sk-SK"/>
              </w:rPr>
            </w:pPr>
            <w:r w:rsidRPr="00E30AD0">
              <w:rPr>
                <w:rFonts w:ascii="Calibri" w:eastAsia="Times New Roman" w:hAnsi="Calibri" w:cs="Calibri"/>
                <w:color w:val="000000"/>
                <w:sz w:val="18"/>
                <w:szCs w:val="18"/>
                <w:lang w:eastAsia="sk-SK"/>
              </w:rPr>
              <w:t>2007</w:t>
            </w:r>
          </w:p>
        </w:tc>
        <w:tc>
          <w:tcPr>
            <w:tcW w:w="620" w:type="dxa"/>
            <w:tcBorders>
              <w:top w:val="single" w:sz="4" w:space="0" w:color="auto"/>
              <w:left w:val="nil"/>
              <w:bottom w:val="single" w:sz="4" w:space="0" w:color="auto"/>
              <w:right w:val="single" w:sz="4" w:space="0" w:color="auto"/>
            </w:tcBorders>
            <w:shd w:val="clear" w:color="000000" w:fill="BFBFBF"/>
            <w:noWrap/>
            <w:vAlign w:val="bottom"/>
            <w:hideMark/>
          </w:tcPr>
          <w:p w14:paraId="0F6965FC" w14:textId="77777777" w:rsidR="006B5C79" w:rsidRPr="00E30AD0" w:rsidRDefault="006B5C79" w:rsidP="000029BC">
            <w:pPr>
              <w:spacing w:after="0" w:line="276" w:lineRule="auto"/>
              <w:jc w:val="center"/>
              <w:rPr>
                <w:rFonts w:ascii="Calibri" w:eastAsia="Times New Roman" w:hAnsi="Calibri" w:cs="Calibri"/>
                <w:color w:val="000000"/>
                <w:sz w:val="18"/>
                <w:szCs w:val="18"/>
                <w:lang w:eastAsia="sk-SK"/>
              </w:rPr>
            </w:pPr>
            <w:r w:rsidRPr="00E30AD0">
              <w:rPr>
                <w:rFonts w:ascii="Calibri" w:eastAsia="Times New Roman" w:hAnsi="Calibri" w:cs="Calibri"/>
                <w:color w:val="000000"/>
                <w:sz w:val="18"/>
                <w:szCs w:val="18"/>
                <w:lang w:eastAsia="sk-SK"/>
              </w:rPr>
              <w:t>2008</w:t>
            </w:r>
          </w:p>
        </w:tc>
        <w:tc>
          <w:tcPr>
            <w:tcW w:w="620" w:type="dxa"/>
            <w:tcBorders>
              <w:top w:val="single" w:sz="4" w:space="0" w:color="auto"/>
              <w:left w:val="nil"/>
              <w:bottom w:val="single" w:sz="4" w:space="0" w:color="auto"/>
              <w:right w:val="single" w:sz="4" w:space="0" w:color="auto"/>
            </w:tcBorders>
            <w:shd w:val="clear" w:color="000000" w:fill="BFBFBF"/>
            <w:noWrap/>
            <w:vAlign w:val="bottom"/>
            <w:hideMark/>
          </w:tcPr>
          <w:p w14:paraId="597A2BEB" w14:textId="77777777" w:rsidR="006B5C79" w:rsidRPr="00E30AD0" w:rsidRDefault="006B5C79" w:rsidP="000029BC">
            <w:pPr>
              <w:spacing w:after="0" w:line="276" w:lineRule="auto"/>
              <w:jc w:val="center"/>
              <w:rPr>
                <w:rFonts w:ascii="Calibri" w:eastAsia="Times New Roman" w:hAnsi="Calibri" w:cs="Calibri"/>
                <w:color w:val="000000"/>
                <w:sz w:val="18"/>
                <w:szCs w:val="18"/>
                <w:lang w:eastAsia="sk-SK"/>
              </w:rPr>
            </w:pPr>
            <w:r w:rsidRPr="00E30AD0">
              <w:rPr>
                <w:rFonts w:ascii="Calibri" w:eastAsia="Times New Roman" w:hAnsi="Calibri" w:cs="Calibri"/>
                <w:color w:val="000000"/>
                <w:sz w:val="18"/>
                <w:szCs w:val="18"/>
                <w:lang w:eastAsia="sk-SK"/>
              </w:rPr>
              <w:t>2009</w:t>
            </w:r>
          </w:p>
        </w:tc>
        <w:tc>
          <w:tcPr>
            <w:tcW w:w="620" w:type="dxa"/>
            <w:tcBorders>
              <w:top w:val="single" w:sz="4" w:space="0" w:color="auto"/>
              <w:left w:val="nil"/>
              <w:bottom w:val="single" w:sz="4" w:space="0" w:color="auto"/>
              <w:right w:val="single" w:sz="4" w:space="0" w:color="auto"/>
            </w:tcBorders>
            <w:shd w:val="clear" w:color="000000" w:fill="BFBFBF"/>
            <w:noWrap/>
            <w:vAlign w:val="bottom"/>
            <w:hideMark/>
          </w:tcPr>
          <w:p w14:paraId="3EF3B921" w14:textId="77777777" w:rsidR="006B5C79" w:rsidRPr="00E30AD0" w:rsidRDefault="006B5C79" w:rsidP="000029BC">
            <w:pPr>
              <w:spacing w:after="0" w:line="276" w:lineRule="auto"/>
              <w:jc w:val="center"/>
              <w:rPr>
                <w:rFonts w:ascii="Calibri" w:eastAsia="Times New Roman" w:hAnsi="Calibri" w:cs="Calibri"/>
                <w:color w:val="000000"/>
                <w:sz w:val="18"/>
                <w:szCs w:val="18"/>
                <w:lang w:eastAsia="sk-SK"/>
              </w:rPr>
            </w:pPr>
            <w:r w:rsidRPr="00E30AD0">
              <w:rPr>
                <w:rFonts w:ascii="Calibri" w:eastAsia="Times New Roman" w:hAnsi="Calibri" w:cs="Calibri"/>
                <w:color w:val="000000"/>
                <w:sz w:val="18"/>
                <w:szCs w:val="18"/>
                <w:lang w:eastAsia="sk-SK"/>
              </w:rPr>
              <w:t>2010</w:t>
            </w:r>
          </w:p>
        </w:tc>
        <w:tc>
          <w:tcPr>
            <w:tcW w:w="620" w:type="dxa"/>
            <w:tcBorders>
              <w:top w:val="single" w:sz="4" w:space="0" w:color="auto"/>
              <w:left w:val="nil"/>
              <w:bottom w:val="single" w:sz="4" w:space="0" w:color="auto"/>
              <w:right w:val="single" w:sz="4" w:space="0" w:color="auto"/>
            </w:tcBorders>
            <w:shd w:val="clear" w:color="000000" w:fill="BFBFBF"/>
            <w:noWrap/>
            <w:vAlign w:val="bottom"/>
            <w:hideMark/>
          </w:tcPr>
          <w:p w14:paraId="2711E9E7" w14:textId="77777777" w:rsidR="006B5C79" w:rsidRPr="00E30AD0" w:rsidRDefault="006B5C79" w:rsidP="000029BC">
            <w:pPr>
              <w:spacing w:after="0" w:line="276" w:lineRule="auto"/>
              <w:jc w:val="center"/>
              <w:rPr>
                <w:rFonts w:ascii="Calibri" w:eastAsia="Times New Roman" w:hAnsi="Calibri" w:cs="Calibri"/>
                <w:color w:val="000000"/>
                <w:sz w:val="18"/>
                <w:szCs w:val="18"/>
                <w:lang w:eastAsia="sk-SK"/>
              </w:rPr>
            </w:pPr>
            <w:r w:rsidRPr="00E30AD0">
              <w:rPr>
                <w:rFonts w:ascii="Calibri" w:eastAsia="Times New Roman" w:hAnsi="Calibri" w:cs="Calibri"/>
                <w:color w:val="000000"/>
                <w:sz w:val="18"/>
                <w:szCs w:val="18"/>
                <w:lang w:eastAsia="sk-SK"/>
              </w:rPr>
              <w:t>2011</w:t>
            </w:r>
          </w:p>
        </w:tc>
        <w:tc>
          <w:tcPr>
            <w:tcW w:w="620" w:type="dxa"/>
            <w:tcBorders>
              <w:top w:val="single" w:sz="4" w:space="0" w:color="auto"/>
              <w:left w:val="nil"/>
              <w:bottom w:val="single" w:sz="4" w:space="0" w:color="auto"/>
              <w:right w:val="single" w:sz="4" w:space="0" w:color="auto"/>
            </w:tcBorders>
            <w:shd w:val="clear" w:color="000000" w:fill="BFBFBF"/>
            <w:noWrap/>
            <w:vAlign w:val="bottom"/>
            <w:hideMark/>
          </w:tcPr>
          <w:p w14:paraId="7546FE42" w14:textId="77777777" w:rsidR="006B5C79" w:rsidRPr="00E30AD0" w:rsidRDefault="006B5C79" w:rsidP="000029BC">
            <w:pPr>
              <w:spacing w:after="0" w:line="276" w:lineRule="auto"/>
              <w:jc w:val="center"/>
              <w:rPr>
                <w:rFonts w:ascii="Calibri" w:eastAsia="Times New Roman" w:hAnsi="Calibri" w:cs="Calibri"/>
                <w:color w:val="000000"/>
                <w:sz w:val="18"/>
                <w:szCs w:val="18"/>
                <w:lang w:eastAsia="sk-SK"/>
              </w:rPr>
            </w:pPr>
            <w:r w:rsidRPr="00E30AD0">
              <w:rPr>
                <w:rFonts w:ascii="Calibri" w:eastAsia="Times New Roman" w:hAnsi="Calibri" w:cs="Calibri"/>
                <w:color w:val="000000"/>
                <w:sz w:val="18"/>
                <w:szCs w:val="18"/>
                <w:lang w:eastAsia="sk-SK"/>
              </w:rPr>
              <w:t>2012</w:t>
            </w:r>
          </w:p>
        </w:tc>
        <w:tc>
          <w:tcPr>
            <w:tcW w:w="620" w:type="dxa"/>
            <w:tcBorders>
              <w:top w:val="single" w:sz="4" w:space="0" w:color="auto"/>
              <w:left w:val="nil"/>
              <w:bottom w:val="single" w:sz="4" w:space="0" w:color="auto"/>
              <w:right w:val="single" w:sz="4" w:space="0" w:color="auto"/>
            </w:tcBorders>
            <w:shd w:val="clear" w:color="000000" w:fill="BFBFBF"/>
            <w:noWrap/>
            <w:vAlign w:val="bottom"/>
            <w:hideMark/>
          </w:tcPr>
          <w:p w14:paraId="3F9524C9" w14:textId="77777777" w:rsidR="006B5C79" w:rsidRPr="00E30AD0" w:rsidRDefault="006B5C79" w:rsidP="000029BC">
            <w:pPr>
              <w:spacing w:after="0" w:line="276" w:lineRule="auto"/>
              <w:jc w:val="center"/>
              <w:rPr>
                <w:rFonts w:ascii="Calibri" w:eastAsia="Times New Roman" w:hAnsi="Calibri" w:cs="Calibri"/>
                <w:color w:val="000000"/>
                <w:sz w:val="18"/>
                <w:szCs w:val="18"/>
                <w:lang w:eastAsia="sk-SK"/>
              </w:rPr>
            </w:pPr>
            <w:r w:rsidRPr="00E30AD0">
              <w:rPr>
                <w:rFonts w:ascii="Calibri" w:eastAsia="Times New Roman" w:hAnsi="Calibri" w:cs="Calibri"/>
                <w:color w:val="000000"/>
                <w:sz w:val="18"/>
                <w:szCs w:val="18"/>
                <w:lang w:eastAsia="sk-SK"/>
              </w:rPr>
              <w:t>2013</w:t>
            </w:r>
          </w:p>
        </w:tc>
        <w:tc>
          <w:tcPr>
            <w:tcW w:w="620" w:type="dxa"/>
            <w:tcBorders>
              <w:top w:val="single" w:sz="4" w:space="0" w:color="auto"/>
              <w:left w:val="nil"/>
              <w:bottom w:val="single" w:sz="4" w:space="0" w:color="auto"/>
              <w:right w:val="single" w:sz="4" w:space="0" w:color="auto"/>
            </w:tcBorders>
            <w:shd w:val="clear" w:color="000000" w:fill="BFBFBF"/>
            <w:noWrap/>
            <w:vAlign w:val="bottom"/>
            <w:hideMark/>
          </w:tcPr>
          <w:p w14:paraId="57B101C5" w14:textId="77777777" w:rsidR="006B5C79" w:rsidRPr="00E30AD0" w:rsidRDefault="006B5C79" w:rsidP="000029BC">
            <w:pPr>
              <w:spacing w:after="0" w:line="276" w:lineRule="auto"/>
              <w:jc w:val="center"/>
              <w:rPr>
                <w:rFonts w:ascii="Calibri" w:eastAsia="Times New Roman" w:hAnsi="Calibri" w:cs="Calibri"/>
                <w:color w:val="000000"/>
                <w:sz w:val="18"/>
                <w:szCs w:val="18"/>
                <w:lang w:eastAsia="sk-SK"/>
              </w:rPr>
            </w:pPr>
            <w:r w:rsidRPr="00E30AD0">
              <w:rPr>
                <w:rFonts w:ascii="Calibri" w:eastAsia="Times New Roman" w:hAnsi="Calibri" w:cs="Calibri"/>
                <w:color w:val="000000"/>
                <w:sz w:val="18"/>
                <w:szCs w:val="18"/>
                <w:lang w:eastAsia="sk-SK"/>
              </w:rPr>
              <w:t>2014</w:t>
            </w:r>
          </w:p>
        </w:tc>
        <w:tc>
          <w:tcPr>
            <w:tcW w:w="620" w:type="dxa"/>
            <w:tcBorders>
              <w:top w:val="single" w:sz="4" w:space="0" w:color="auto"/>
              <w:left w:val="nil"/>
              <w:bottom w:val="single" w:sz="4" w:space="0" w:color="auto"/>
              <w:right w:val="single" w:sz="4" w:space="0" w:color="auto"/>
            </w:tcBorders>
            <w:shd w:val="clear" w:color="000000" w:fill="BFBFBF"/>
            <w:noWrap/>
            <w:vAlign w:val="bottom"/>
            <w:hideMark/>
          </w:tcPr>
          <w:p w14:paraId="3C9DB8BC" w14:textId="77777777" w:rsidR="006B5C79" w:rsidRPr="00E30AD0" w:rsidRDefault="006B5C79" w:rsidP="000029BC">
            <w:pPr>
              <w:spacing w:after="0" w:line="276" w:lineRule="auto"/>
              <w:jc w:val="center"/>
              <w:rPr>
                <w:rFonts w:ascii="Calibri" w:eastAsia="Times New Roman" w:hAnsi="Calibri" w:cs="Calibri"/>
                <w:color w:val="000000"/>
                <w:sz w:val="18"/>
                <w:szCs w:val="18"/>
                <w:lang w:eastAsia="sk-SK"/>
              </w:rPr>
            </w:pPr>
            <w:r w:rsidRPr="00E30AD0">
              <w:rPr>
                <w:rFonts w:ascii="Calibri" w:eastAsia="Times New Roman" w:hAnsi="Calibri" w:cs="Calibri"/>
                <w:color w:val="000000"/>
                <w:sz w:val="18"/>
                <w:szCs w:val="18"/>
                <w:lang w:eastAsia="sk-SK"/>
              </w:rPr>
              <w:t>2015</w:t>
            </w:r>
          </w:p>
        </w:tc>
        <w:tc>
          <w:tcPr>
            <w:tcW w:w="620" w:type="dxa"/>
            <w:tcBorders>
              <w:top w:val="single" w:sz="4" w:space="0" w:color="auto"/>
              <w:left w:val="nil"/>
              <w:bottom w:val="single" w:sz="4" w:space="0" w:color="auto"/>
              <w:right w:val="single" w:sz="4" w:space="0" w:color="auto"/>
            </w:tcBorders>
            <w:shd w:val="clear" w:color="000000" w:fill="BFBFBF"/>
            <w:noWrap/>
            <w:vAlign w:val="bottom"/>
            <w:hideMark/>
          </w:tcPr>
          <w:p w14:paraId="09C4D9CB" w14:textId="77777777" w:rsidR="006B5C79" w:rsidRPr="00E30AD0" w:rsidRDefault="006B5C79" w:rsidP="000029BC">
            <w:pPr>
              <w:spacing w:after="0" w:line="276" w:lineRule="auto"/>
              <w:jc w:val="center"/>
              <w:rPr>
                <w:rFonts w:ascii="Calibri" w:eastAsia="Times New Roman" w:hAnsi="Calibri" w:cs="Calibri"/>
                <w:color w:val="000000"/>
                <w:sz w:val="18"/>
                <w:szCs w:val="18"/>
                <w:lang w:eastAsia="sk-SK"/>
              </w:rPr>
            </w:pPr>
            <w:r w:rsidRPr="00E30AD0">
              <w:rPr>
                <w:rFonts w:ascii="Calibri" w:eastAsia="Times New Roman" w:hAnsi="Calibri" w:cs="Calibri"/>
                <w:color w:val="000000"/>
                <w:sz w:val="18"/>
                <w:szCs w:val="18"/>
                <w:lang w:eastAsia="sk-SK"/>
              </w:rPr>
              <w:t>2016</w:t>
            </w:r>
          </w:p>
        </w:tc>
      </w:tr>
      <w:tr w:rsidR="006B5C79" w:rsidRPr="00E30AD0" w14:paraId="3D23CF51" w14:textId="77777777" w:rsidTr="000029BC">
        <w:trPr>
          <w:trHeight w:val="24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88FCFB2" w14:textId="77777777" w:rsidR="006B5C79" w:rsidRPr="00E30AD0" w:rsidRDefault="006B5C79" w:rsidP="000029BC">
            <w:pPr>
              <w:spacing w:after="0" w:line="276" w:lineRule="auto"/>
              <w:rPr>
                <w:rFonts w:ascii="Calibri" w:eastAsia="Times New Roman" w:hAnsi="Calibri" w:cs="Calibri"/>
                <w:color w:val="000000"/>
                <w:sz w:val="18"/>
                <w:szCs w:val="18"/>
                <w:lang w:eastAsia="sk-SK"/>
              </w:rPr>
            </w:pPr>
            <w:r w:rsidRPr="00AC0948">
              <w:rPr>
                <w:rFonts w:ascii="Calibri" w:eastAsia="Times New Roman" w:hAnsi="Calibri" w:cs="Calibri"/>
                <w:color w:val="833C0B" w:themeColor="accent2" w:themeShade="80"/>
                <w:sz w:val="18"/>
                <w:szCs w:val="18"/>
                <w:lang w:eastAsia="sk-SK"/>
              </w:rPr>
              <w:t>Severná časť</w:t>
            </w:r>
          </w:p>
        </w:tc>
        <w:tc>
          <w:tcPr>
            <w:tcW w:w="620" w:type="dxa"/>
            <w:tcBorders>
              <w:top w:val="nil"/>
              <w:left w:val="nil"/>
              <w:bottom w:val="single" w:sz="4" w:space="0" w:color="auto"/>
              <w:right w:val="single" w:sz="4" w:space="0" w:color="auto"/>
            </w:tcBorders>
            <w:shd w:val="clear" w:color="auto" w:fill="auto"/>
            <w:noWrap/>
            <w:vAlign w:val="bottom"/>
            <w:hideMark/>
          </w:tcPr>
          <w:p w14:paraId="501FBE86" w14:textId="77777777" w:rsidR="006B5C79" w:rsidRPr="00E30AD0" w:rsidRDefault="006B5C79" w:rsidP="000029BC">
            <w:pPr>
              <w:spacing w:after="0" w:line="276" w:lineRule="auto"/>
              <w:jc w:val="right"/>
              <w:rPr>
                <w:rFonts w:ascii="Calibri" w:eastAsia="Times New Roman" w:hAnsi="Calibri" w:cs="Calibri"/>
                <w:color w:val="000000"/>
                <w:sz w:val="18"/>
                <w:szCs w:val="18"/>
                <w:lang w:eastAsia="sk-SK"/>
              </w:rPr>
            </w:pPr>
            <w:r w:rsidRPr="00E30AD0">
              <w:rPr>
                <w:rFonts w:ascii="Calibri" w:eastAsia="Times New Roman" w:hAnsi="Calibri" w:cs="Calibri"/>
                <w:color w:val="000000"/>
                <w:sz w:val="18"/>
                <w:szCs w:val="18"/>
                <w:lang w:eastAsia="sk-SK"/>
              </w:rPr>
              <w:t>2851</w:t>
            </w:r>
          </w:p>
        </w:tc>
        <w:tc>
          <w:tcPr>
            <w:tcW w:w="620" w:type="dxa"/>
            <w:tcBorders>
              <w:top w:val="nil"/>
              <w:left w:val="nil"/>
              <w:bottom w:val="single" w:sz="4" w:space="0" w:color="auto"/>
              <w:right w:val="single" w:sz="4" w:space="0" w:color="auto"/>
            </w:tcBorders>
            <w:shd w:val="clear" w:color="auto" w:fill="auto"/>
            <w:noWrap/>
            <w:vAlign w:val="bottom"/>
            <w:hideMark/>
          </w:tcPr>
          <w:p w14:paraId="6CDCF2DE" w14:textId="77777777" w:rsidR="006B5C79" w:rsidRPr="00E30AD0" w:rsidRDefault="006B5C79" w:rsidP="000029BC">
            <w:pPr>
              <w:spacing w:after="0" w:line="276" w:lineRule="auto"/>
              <w:jc w:val="right"/>
              <w:rPr>
                <w:rFonts w:ascii="Calibri" w:eastAsia="Times New Roman" w:hAnsi="Calibri" w:cs="Calibri"/>
                <w:color w:val="000000"/>
                <w:sz w:val="18"/>
                <w:szCs w:val="18"/>
                <w:lang w:eastAsia="sk-SK"/>
              </w:rPr>
            </w:pPr>
            <w:r w:rsidRPr="00E30AD0">
              <w:rPr>
                <w:rFonts w:ascii="Calibri" w:eastAsia="Times New Roman" w:hAnsi="Calibri" w:cs="Calibri"/>
                <w:color w:val="000000"/>
                <w:sz w:val="18"/>
                <w:szCs w:val="18"/>
                <w:lang w:eastAsia="sk-SK"/>
              </w:rPr>
              <w:t>2524</w:t>
            </w:r>
          </w:p>
        </w:tc>
        <w:tc>
          <w:tcPr>
            <w:tcW w:w="620" w:type="dxa"/>
            <w:tcBorders>
              <w:top w:val="nil"/>
              <w:left w:val="nil"/>
              <w:bottom w:val="single" w:sz="4" w:space="0" w:color="auto"/>
              <w:right w:val="single" w:sz="4" w:space="0" w:color="auto"/>
            </w:tcBorders>
            <w:shd w:val="clear" w:color="auto" w:fill="auto"/>
            <w:noWrap/>
            <w:vAlign w:val="bottom"/>
            <w:hideMark/>
          </w:tcPr>
          <w:p w14:paraId="735E26D5" w14:textId="77777777" w:rsidR="006B5C79" w:rsidRPr="00E30AD0" w:rsidRDefault="006B5C79" w:rsidP="000029BC">
            <w:pPr>
              <w:spacing w:after="0" w:line="276" w:lineRule="auto"/>
              <w:jc w:val="right"/>
              <w:rPr>
                <w:rFonts w:ascii="Calibri" w:eastAsia="Times New Roman" w:hAnsi="Calibri" w:cs="Calibri"/>
                <w:color w:val="000000"/>
                <w:sz w:val="18"/>
                <w:szCs w:val="18"/>
                <w:lang w:eastAsia="sk-SK"/>
              </w:rPr>
            </w:pPr>
            <w:r w:rsidRPr="00E30AD0">
              <w:rPr>
                <w:rFonts w:ascii="Calibri" w:eastAsia="Times New Roman" w:hAnsi="Calibri" w:cs="Calibri"/>
                <w:color w:val="000000"/>
                <w:sz w:val="18"/>
                <w:szCs w:val="18"/>
                <w:lang w:eastAsia="sk-SK"/>
              </w:rPr>
              <w:t>2302</w:t>
            </w:r>
          </w:p>
        </w:tc>
        <w:tc>
          <w:tcPr>
            <w:tcW w:w="620" w:type="dxa"/>
            <w:tcBorders>
              <w:top w:val="nil"/>
              <w:left w:val="nil"/>
              <w:bottom w:val="single" w:sz="4" w:space="0" w:color="auto"/>
              <w:right w:val="single" w:sz="4" w:space="0" w:color="auto"/>
            </w:tcBorders>
            <w:shd w:val="clear" w:color="auto" w:fill="auto"/>
            <w:noWrap/>
            <w:vAlign w:val="bottom"/>
            <w:hideMark/>
          </w:tcPr>
          <w:p w14:paraId="7E04A0B4" w14:textId="77777777" w:rsidR="006B5C79" w:rsidRPr="00E30AD0" w:rsidRDefault="006B5C79" w:rsidP="000029BC">
            <w:pPr>
              <w:spacing w:after="0" w:line="276" w:lineRule="auto"/>
              <w:jc w:val="right"/>
              <w:rPr>
                <w:rFonts w:ascii="Calibri" w:eastAsia="Times New Roman" w:hAnsi="Calibri" w:cs="Calibri"/>
                <w:color w:val="000000"/>
                <w:sz w:val="18"/>
                <w:szCs w:val="18"/>
                <w:lang w:eastAsia="sk-SK"/>
              </w:rPr>
            </w:pPr>
            <w:r w:rsidRPr="00E30AD0">
              <w:rPr>
                <w:rFonts w:ascii="Calibri" w:eastAsia="Times New Roman" w:hAnsi="Calibri" w:cs="Calibri"/>
                <w:color w:val="000000"/>
                <w:sz w:val="18"/>
                <w:szCs w:val="18"/>
                <w:lang w:eastAsia="sk-SK"/>
              </w:rPr>
              <w:t>2381</w:t>
            </w:r>
          </w:p>
        </w:tc>
        <w:tc>
          <w:tcPr>
            <w:tcW w:w="620" w:type="dxa"/>
            <w:tcBorders>
              <w:top w:val="nil"/>
              <w:left w:val="nil"/>
              <w:bottom w:val="single" w:sz="4" w:space="0" w:color="auto"/>
              <w:right w:val="single" w:sz="4" w:space="0" w:color="auto"/>
            </w:tcBorders>
            <w:shd w:val="clear" w:color="auto" w:fill="auto"/>
            <w:noWrap/>
            <w:vAlign w:val="bottom"/>
            <w:hideMark/>
          </w:tcPr>
          <w:p w14:paraId="129605D1" w14:textId="77777777" w:rsidR="006B5C79" w:rsidRPr="00E30AD0" w:rsidRDefault="006B5C79" w:rsidP="000029BC">
            <w:pPr>
              <w:spacing w:after="0" w:line="276" w:lineRule="auto"/>
              <w:jc w:val="right"/>
              <w:rPr>
                <w:rFonts w:ascii="Calibri" w:eastAsia="Times New Roman" w:hAnsi="Calibri" w:cs="Calibri"/>
                <w:color w:val="000000"/>
                <w:sz w:val="18"/>
                <w:szCs w:val="18"/>
                <w:lang w:eastAsia="sk-SK"/>
              </w:rPr>
            </w:pPr>
            <w:r w:rsidRPr="00E30AD0">
              <w:rPr>
                <w:rFonts w:ascii="Calibri" w:eastAsia="Times New Roman" w:hAnsi="Calibri" w:cs="Calibri"/>
                <w:color w:val="000000"/>
                <w:sz w:val="18"/>
                <w:szCs w:val="18"/>
                <w:lang w:eastAsia="sk-SK"/>
              </w:rPr>
              <w:t>3129</w:t>
            </w:r>
          </w:p>
        </w:tc>
        <w:tc>
          <w:tcPr>
            <w:tcW w:w="620" w:type="dxa"/>
            <w:tcBorders>
              <w:top w:val="nil"/>
              <w:left w:val="nil"/>
              <w:bottom w:val="single" w:sz="4" w:space="0" w:color="auto"/>
              <w:right w:val="single" w:sz="4" w:space="0" w:color="auto"/>
            </w:tcBorders>
            <w:shd w:val="clear" w:color="auto" w:fill="auto"/>
            <w:noWrap/>
            <w:vAlign w:val="bottom"/>
            <w:hideMark/>
          </w:tcPr>
          <w:p w14:paraId="2069D01C" w14:textId="77777777" w:rsidR="006B5C79" w:rsidRPr="00E30AD0" w:rsidRDefault="006B5C79" w:rsidP="000029BC">
            <w:pPr>
              <w:spacing w:after="0" w:line="276" w:lineRule="auto"/>
              <w:jc w:val="right"/>
              <w:rPr>
                <w:rFonts w:ascii="Calibri" w:eastAsia="Times New Roman" w:hAnsi="Calibri" w:cs="Calibri"/>
                <w:color w:val="000000"/>
                <w:sz w:val="18"/>
                <w:szCs w:val="18"/>
                <w:lang w:eastAsia="sk-SK"/>
              </w:rPr>
            </w:pPr>
            <w:r w:rsidRPr="00E30AD0">
              <w:rPr>
                <w:rFonts w:ascii="Calibri" w:eastAsia="Times New Roman" w:hAnsi="Calibri" w:cs="Calibri"/>
                <w:color w:val="000000"/>
                <w:sz w:val="18"/>
                <w:szCs w:val="18"/>
                <w:lang w:eastAsia="sk-SK"/>
              </w:rPr>
              <w:t>3432</w:t>
            </w:r>
          </w:p>
        </w:tc>
        <w:tc>
          <w:tcPr>
            <w:tcW w:w="620" w:type="dxa"/>
            <w:tcBorders>
              <w:top w:val="nil"/>
              <w:left w:val="nil"/>
              <w:bottom w:val="single" w:sz="4" w:space="0" w:color="auto"/>
              <w:right w:val="single" w:sz="4" w:space="0" w:color="auto"/>
            </w:tcBorders>
            <w:shd w:val="clear" w:color="auto" w:fill="auto"/>
            <w:noWrap/>
            <w:vAlign w:val="bottom"/>
            <w:hideMark/>
          </w:tcPr>
          <w:p w14:paraId="166189F5" w14:textId="77777777" w:rsidR="006B5C79" w:rsidRPr="00E30AD0" w:rsidRDefault="006B5C79" w:rsidP="000029BC">
            <w:pPr>
              <w:spacing w:after="0" w:line="276" w:lineRule="auto"/>
              <w:jc w:val="right"/>
              <w:rPr>
                <w:rFonts w:ascii="Calibri" w:eastAsia="Times New Roman" w:hAnsi="Calibri" w:cs="Calibri"/>
                <w:color w:val="000000"/>
                <w:sz w:val="18"/>
                <w:szCs w:val="18"/>
                <w:lang w:eastAsia="sk-SK"/>
              </w:rPr>
            </w:pPr>
            <w:r w:rsidRPr="00E30AD0">
              <w:rPr>
                <w:rFonts w:ascii="Calibri" w:eastAsia="Times New Roman" w:hAnsi="Calibri" w:cs="Calibri"/>
                <w:color w:val="000000"/>
                <w:sz w:val="18"/>
                <w:szCs w:val="18"/>
                <w:lang w:eastAsia="sk-SK"/>
              </w:rPr>
              <w:t>3482</w:t>
            </w:r>
          </w:p>
        </w:tc>
        <w:tc>
          <w:tcPr>
            <w:tcW w:w="620" w:type="dxa"/>
            <w:tcBorders>
              <w:top w:val="nil"/>
              <w:left w:val="nil"/>
              <w:bottom w:val="single" w:sz="4" w:space="0" w:color="auto"/>
              <w:right w:val="single" w:sz="4" w:space="0" w:color="auto"/>
            </w:tcBorders>
            <w:shd w:val="clear" w:color="auto" w:fill="auto"/>
            <w:noWrap/>
            <w:vAlign w:val="bottom"/>
            <w:hideMark/>
          </w:tcPr>
          <w:p w14:paraId="36F62FEE" w14:textId="77777777" w:rsidR="006B5C79" w:rsidRPr="00E30AD0" w:rsidRDefault="006B5C79" w:rsidP="000029BC">
            <w:pPr>
              <w:spacing w:after="0" w:line="276" w:lineRule="auto"/>
              <w:jc w:val="right"/>
              <w:rPr>
                <w:rFonts w:ascii="Calibri" w:eastAsia="Times New Roman" w:hAnsi="Calibri" w:cs="Calibri"/>
                <w:color w:val="000000"/>
                <w:sz w:val="18"/>
                <w:szCs w:val="18"/>
                <w:lang w:eastAsia="sk-SK"/>
              </w:rPr>
            </w:pPr>
            <w:r w:rsidRPr="00E30AD0">
              <w:rPr>
                <w:rFonts w:ascii="Calibri" w:eastAsia="Times New Roman" w:hAnsi="Calibri" w:cs="Calibri"/>
                <w:color w:val="000000"/>
                <w:sz w:val="18"/>
                <w:szCs w:val="18"/>
                <w:lang w:eastAsia="sk-SK"/>
              </w:rPr>
              <w:t>3670</w:t>
            </w:r>
          </w:p>
        </w:tc>
        <w:tc>
          <w:tcPr>
            <w:tcW w:w="620" w:type="dxa"/>
            <w:tcBorders>
              <w:top w:val="nil"/>
              <w:left w:val="nil"/>
              <w:bottom w:val="single" w:sz="4" w:space="0" w:color="auto"/>
              <w:right w:val="single" w:sz="4" w:space="0" w:color="auto"/>
            </w:tcBorders>
            <w:shd w:val="clear" w:color="auto" w:fill="auto"/>
            <w:noWrap/>
            <w:vAlign w:val="bottom"/>
            <w:hideMark/>
          </w:tcPr>
          <w:p w14:paraId="1D999295" w14:textId="77777777" w:rsidR="006B5C79" w:rsidRPr="00E30AD0" w:rsidRDefault="006B5C79" w:rsidP="000029BC">
            <w:pPr>
              <w:spacing w:after="0" w:line="276" w:lineRule="auto"/>
              <w:jc w:val="right"/>
              <w:rPr>
                <w:rFonts w:ascii="Calibri" w:eastAsia="Times New Roman" w:hAnsi="Calibri" w:cs="Calibri"/>
                <w:color w:val="000000"/>
                <w:sz w:val="18"/>
                <w:szCs w:val="18"/>
                <w:lang w:eastAsia="sk-SK"/>
              </w:rPr>
            </w:pPr>
            <w:r w:rsidRPr="00E30AD0">
              <w:rPr>
                <w:rFonts w:ascii="Calibri" w:eastAsia="Times New Roman" w:hAnsi="Calibri" w:cs="Calibri"/>
                <w:color w:val="000000"/>
                <w:sz w:val="18"/>
                <w:szCs w:val="18"/>
                <w:lang w:eastAsia="sk-SK"/>
              </w:rPr>
              <w:t>3370</w:t>
            </w:r>
          </w:p>
        </w:tc>
        <w:tc>
          <w:tcPr>
            <w:tcW w:w="620" w:type="dxa"/>
            <w:tcBorders>
              <w:top w:val="nil"/>
              <w:left w:val="nil"/>
              <w:bottom w:val="single" w:sz="4" w:space="0" w:color="auto"/>
              <w:right w:val="single" w:sz="4" w:space="0" w:color="auto"/>
            </w:tcBorders>
            <w:shd w:val="clear" w:color="auto" w:fill="auto"/>
            <w:noWrap/>
            <w:vAlign w:val="bottom"/>
            <w:hideMark/>
          </w:tcPr>
          <w:p w14:paraId="27991ECB" w14:textId="77777777" w:rsidR="006B5C79" w:rsidRPr="00E30AD0" w:rsidRDefault="006B5C79" w:rsidP="000029BC">
            <w:pPr>
              <w:spacing w:after="0" w:line="276" w:lineRule="auto"/>
              <w:jc w:val="right"/>
              <w:rPr>
                <w:rFonts w:ascii="Calibri" w:eastAsia="Times New Roman" w:hAnsi="Calibri" w:cs="Calibri"/>
                <w:color w:val="000000"/>
                <w:sz w:val="18"/>
                <w:szCs w:val="18"/>
                <w:lang w:eastAsia="sk-SK"/>
              </w:rPr>
            </w:pPr>
            <w:r w:rsidRPr="00E30AD0">
              <w:rPr>
                <w:rFonts w:ascii="Calibri" w:eastAsia="Times New Roman" w:hAnsi="Calibri" w:cs="Calibri"/>
                <w:color w:val="000000"/>
                <w:sz w:val="18"/>
                <w:szCs w:val="18"/>
                <w:lang w:eastAsia="sk-SK"/>
              </w:rPr>
              <w:t>3321</w:t>
            </w:r>
          </w:p>
        </w:tc>
        <w:tc>
          <w:tcPr>
            <w:tcW w:w="620" w:type="dxa"/>
            <w:tcBorders>
              <w:top w:val="nil"/>
              <w:left w:val="nil"/>
              <w:bottom w:val="single" w:sz="4" w:space="0" w:color="auto"/>
              <w:right w:val="single" w:sz="4" w:space="0" w:color="auto"/>
            </w:tcBorders>
            <w:shd w:val="clear" w:color="auto" w:fill="auto"/>
            <w:noWrap/>
            <w:vAlign w:val="bottom"/>
            <w:hideMark/>
          </w:tcPr>
          <w:p w14:paraId="383F2238" w14:textId="77777777" w:rsidR="006B5C79" w:rsidRPr="00E30AD0" w:rsidRDefault="006B5C79" w:rsidP="000029BC">
            <w:pPr>
              <w:spacing w:after="0" w:line="276" w:lineRule="auto"/>
              <w:jc w:val="right"/>
              <w:rPr>
                <w:rFonts w:ascii="Calibri" w:eastAsia="Times New Roman" w:hAnsi="Calibri" w:cs="Calibri"/>
                <w:color w:val="000000"/>
                <w:sz w:val="18"/>
                <w:szCs w:val="18"/>
                <w:lang w:eastAsia="sk-SK"/>
              </w:rPr>
            </w:pPr>
            <w:r w:rsidRPr="00E30AD0">
              <w:rPr>
                <w:rFonts w:ascii="Calibri" w:eastAsia="Times New Roman" w:hAnsi="Calibri" w:cs="Calibri"/>
                <w:color w:val="000000"/>
                <w:sz w:val="18"/>
                <w:szCs w:val="18"/>
                <w:lang w:eastAsia="sk-SK"/>
              </w:rPr>
              <w:t>3154</w:t>
            </w:r>
          </w:p>
        </w:tc>
        <w:tc>
          <w:tcPr>
            <w:tcW w:w="620" w:type="dxa"/>
            <w:tcBorders>
              <w:top w:val="nil"/>
              <w:left w:val="nil"/>
              <w:bottom w:val="single" w:sz="4" w:space="0" w:color="auto"/>
              <w:right w:val="single" w:sz="4" w:space="0" w:color="auto"/>
            </w:tcBorders>
            <w:shd w:val="clear" w:color="auto" w:fill="auto"/>
            <w:noWrap/>
            <w:vAlign w:val="bottom"/>
            <w:hideMark/>
          </w:tcPr>
          <w:p w14:paraId="69109B54" w14:textId="77777777" w:rsidR="006B5C79" w:rsidRPr="00E30AD0" w:rsidRDefault="006B5C79" w:rsidP="000029BC">
            <w:pPr>
              <w:spacing w:after="0" w:line="276" w:lineRule="auto"/>
              <w:jc w:val="right"/>
              <w:rPr>
                <w:rFonts w:ascii="Calibri" w:eastAsia="Times New Roman" w:hAnsi="Calibri" w:cs="Calibri"/>
                <w:color w:val="000000"/>
                <w:sz w:val="18"/>
                <w:szCs w:val="18"/>
                <w:lang w:eastAsia="sk-SK"/>
              </w:rPr>
            </w:pPr>
            <w:r w:rsidRPr="00E30AD0">
              <w:rPr>
                <w:rFonts w:ascii="Calibri" w:eastAsia="Times New Roman" w:hAnsi="Calibri" w:cs="Calibri"/>
                <w:color w:val="000000"/>
                <w:sz w:val="18"/>
                <w:szCs w:val="18"/>
                <w:lang w:eastAsia="sk-SK"/>
              </w:rPr>
              <w:t>2579</w:t>
            </w:r>
          </w:p>
        </w:tc>
      </w:tr>
      <w:tr w:rsidR="006B5C79" w:rsidRPr="00E30AD0" w14:paraId="4FF9193A" w14:textId="77777777" w:rsidTr="000029BC">
        <w:trPr>
          <w:trHeight w:val="24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1D51C30" w14:textId="77777777" w:rsidR="006B5C79" w:rsidRPr="00E30AD0" w:rsidRDefault="006B5C79" w:rsidP="000029BC">
            <w:pPr>
              <w:spacing w:after="0" w:line="276" w:lineRule="auto"/>
              <w:rPr>
                <w:rFonts w:ascii="Calibri" w:eastAsia="Times New Roman" w:hAnsi="Calibri" w:cs="Calibri"/>
                <w:color w:val="000000"/>
                <w:sz w:val="18"/>
                <w:szCs w:val="18"/>
                <w:lang w:eastAsia="sk-SK"/>
              </w:rPr>
            </w:pPr>
            <w:r w:rsidRPr="00AC0948">
              <w:rPr>
                <w:rFonts w:ascii="Calibri" w:eastAsia="Times New Roman" w:hAnsi="Calibri" w:cs="Calibri"/>
                <w:color w:val="1F4E79" w:themeColor="accent1" w:themeShade="80"/>
                <w:sz w:val="18"/>
                <w:szCs w:val="18"/>
                <w:lang w:eastAsia="sk-SK"/>
              </w:rPr>
              <w:t>Južná časť</w:t>
            </w:r>
          </w:p>
        </w:tc>
        <w:tc>
          <w:tcPr>
            <w:tcW w:w="620" w:type="dxa"/>
            <w:tcBorders>
              <w:top w:val="nil"/>
              <w:left w:val="nil"/>
              <w:bottom w:val="single" w:sz="4" w:space="0" w:color="auto"/>
              <w:right w:val="single" w:sz="4" w:space="0" w:color="auto"/>
            </w:tcBorders>
            <w:shd w:val="clear" w:color="auto" w:fill="auto"/>
            <w:noWrap/>
            <w:vAlign w:val="bottom"/>
            <w:hideMark/>
          </w:tcPr>
          <w:p w14:paraId="07A7150A" w14:textId="77777777" w:rsidR="006B5C79" w:rsidRPr="00E30AD0" w:rsidRDefault="006B5C79" w:rsidP="000029BC">
            <w:pPr>
              <w:spacing w:after="0" w:line="276" w:lineRule="auto"/>
              <w:jc w:val="right"/>
              <w:rPr>
                <w:rFonts w:ascii="Calibri" w:eastAsia="Times New Roman" w:hAnsi="Calibri" w:cs="Calibri"/>
                <w:color w:val="000000"/>
                <w:sz w:val="18"/>
                <w:szCs w:val="18"/>
                <w:lang w:eastAsia="sk-SK"/>
              </w:rPr>
            </w:pPr>
            <w:r w:rsidRPr="00E30AD0">
              <w:rPr>
                <w:rFonts w:ascii="Calibri" w:eastAsia="Times New Roman" w:hAnsi="Calibri" w:cs="Calibri"/>
                <w:color w:val="000000"/>
                <w:sz w:val="18"/>
                <w:szCs w:val="18"/>
                <w:lang w:eastAsia="sk-SK"/>
              </w:rPr>
              <w:t>1290</w:t>
            </w:r>
          </w:p>
        </w:tc>
        <w:tc>
          <w:tcPr>
            <w:tcW w:w="620" w:type="dxa"/>
            <w:tcBorders>
              <w:top w:val="nil"/>
              <w:left w:val="nil"/>
              <w:bottom w:val="single" w:sz="4" w:space="0" w:color="auto"/>
              <w:right w:val="single" w:sz="4" w:space="0" w:color="auto"/>
            </w:tcBorders>
            <w:shd w:val="clear" w:color="auto" w:fill="auto"/>
            <w:noWrap/>
            <w:vAlign w:val="bottom"/>
            <w:hideMark/>
          </w:tcPr>
          <w:p w14:paraId="2FDECB91" w14:textId="77777777" w:rsidR="006B5C79" w:rsidRPr="00E30AD0" w:rsidRDefault="006B5C79" w:rsidP="000029BC">
            <w:pPr>
              <w:spacing w:after="0" w:line="276" w:lineRule="auto"/>
              <w:jc w:val="right"/>
              <w:rPr>
                <w:rFonts w:ascii="Calibri" w:eastAsia="Times New Roman" w:hAnsi="Calibri" w:cs="Calibri"/>
                <w:color w:val="000000"/>
                <w:sz w:val="18"/>
                <w:szCs w:val="18"/>
                <w:lang w:eastAsia="sk-SK"/>
              </w:rPr>
            </w:pPr>
            <w:r w:rsidRPr="00E30AD0">
              <w:rPr>
                <w:rFonts w:ascii="Calibri" w:eastAsia="Times New Roman" w:hAnsi="Calibri" w:cs="Calibri"/>
                <w:color w:val="000000"/>
                <w:sz w:val="18"/>
                <w:szCs w:val="18"/>
                <w:lang w:eastAsia="sk-SK"/>
              </w:rPr>
              <w:t>1065</w:t>
            </w:r>
          </w:p>
        </w:tc>
        <w:tc>
          <w:tcPr>
            <w:tcW w:w="620" w:type="dxa"/>
            <w:tcBorders>
              <w:top w:val="nil"/>
              <w:left w:val="nil"/>
              <w:bottom w:val="single" w:sz="4" w:space="0" w:color="auto"/>
              <w:right w:val="single" w:sz="4" w:space="0" w:color="auto"/>
            </w:tcBorders>
            <w:shd w:val="clear" w:color="auto" w:fill="auto"/>
            <w:noWrap/>
            <w:vAlign w:val="bottom"/>
            <w:hideMark/>
          </w:tcPr>
          <w:p w14:paraId="11345697" w14:textId="77777777" w:rsidR="006B5C79" w:rsidRPr="00E30AD0" w:rsidRDefault="006B5C79" w:rsidP="000029BC">
            <w:pPr>
              <w:spacing w:after="0" w:line="276" w:lineRule="auto"/>
              <w:jc w:val="right"/>
              <w:rPr>
                <w:rFonts w:ascii="Calibri" w:eastAsia="Times New Roman" w:hAnsi="Calibri" w:cs="Calibri"/>
                <w:color w:val="000000"/>
                <w:sz w:val="18"/>
                <w:szCs w:val="18"/>
                <w:lang w:eastAsia="sk-SK"/>
              </w:rPr>
            </w:pPr>
            <w:r w:rsidRPr="00E30AD0">
              <w:rPr>
                <w:rFonts w:ascii="Calibri" w:eastAsia="Times New Roman" w:hAnsi="Calibri" w:cs="Calibri"/>
                <w:color w:val="000000"/>
                <w:sz w:val="18"/>
                <w:szCs w:val="18"/>
                <w:lang w:eastAsia="sk-SK"/>
              </w:rPr>
              <w:t>1029</w:t>
            </w:r>
          </w:p>
        </w:tc>
        <w:tc>
          <w:tcPr>
            <w:tcW w:w="620" w:type="dxa"/>
            <w:tcBorders>
              <w:top w:val="nil"/>
              <w:left w:val="nil"/>
              <w:bottom w:val="single" w:sz="4" w:space="0" w:color="auto"/>
              <w:right w:val="single" w:sz="4" w:space="0" w:color="auto"/>
            </w:tcBorders>
            <w:shd w:val="clear" w:color="auto" w:fill="auto"/>
            <w:noWrap/>
            <w:vAlign w:val="bottom"/>
            <w:hideMark/>
          </w:tcPr>
          <w:p w14:paraId="1FEA9B53" w14:textId="77777777" w:rsidR="006B5C79" w:rsidRPr="00E30AD0" w:rsidRDefault="006B5C79" w:rsidP="000029BC">
            <w:pPr>
              <w:spacing w:after="0" w:line="276" w:lineRule="auto"/>
              <w:jc w:val="right"/>
              <w:rPr>
                <w:rFonts w:ascii="Calibri" w:eastAsia="Times New Roman" w:hAnsi="Calibri" w:cs="Calibri"/>
                <w:color w:val="000000"/>
                <w:sz w:val="18"/>
                <w:szCs w:val="18"/>
                <w:lang w:eastAsia="sk-SK"/>
              </w:rPr>
            </w:pPr>
            <w:r w:rsidRPr="00E30AD0">
              <w:rPr>
                <w:rFonts w:ascii="Calibri" w:eastAsia="Times New Roman" w:hAnsi="Calibri" w:cs="Calibri"/>
                <w:color w:val="000000"/>
                <w:sz w:val="18"/>
                <w:szCs w:val="18"/>
                <w:lang w:eastAsia="sk-SK"/>
              </w:rPr>
              <w:t>1165</w:t>
            </w:r>
          </w:p>
        </w:tc>
        <w:tc>
          <w:tcPr>
            <w:tcW w:w="620" w:type="dxa"/>
            <w:tcBorders>
              <w:top w:val="nil"/>
              <w:left w:val="nil"/>
              <w:bottom w:val="single" w:sz="4" w:space="0" w:color="auto"/>
              <w:right w:val="single" w:sz="4" w:space="0" w:color="auto"/>
            </w:tcBorders>
            <w:shd w:val="clear" w:color="auto" w:fill="auto"/>
            <w:noWrap/>
            <w:vAlign w:val="bottom"/>
            <w:hideMark/>
          </w:tcPr>
          <w:p w14:paraId="06558909" w14:textId="77777777" w:rsidR="006B5C79" w:rsidRPr="00E30AD0" w:rsidRDefault="006B5C79" w:rsidP="000029BC">
            <w:pPr>
              <w:spacing w:after="0" w:line="276" w:lineRule="auto"/>
              <w:jc w:val="right"/>
              <w:rPr>
                <w:rFonts w:ascii="Calibri" w:eastAsia="Times New Roman" w:hAnsi="Calibri" w:cs="Calibri"/>
                <w:color w:val="000000"/>
                <w:sz w:val="18"/>
                <w:szCs w:val="18"/>
                <w:lang w:eastAsia="sk-SK"/>
              </w:rPr>
            </w:pPr>
            <w:r w:rsidRPr="00E30AD0">
              <w:rPr>
                <w:rFonts w:ascii="Calibri" w:eastAsia="Times New Roman" w:hAnsi="Calibri" w:cs="Calibri"/>
                <w:color w:val="000000"/>
                <w:sz w:val="18"/>
                <w:szCs w:val="18"/>
                <w:lang w:eastAsia="sk-SK"/>
              </w:rPr>
              <w:t>1536</w:t>
            </w:r>
          </w:p>
        </w:tc>
        <w:tc>
          <w:tcPr>
            <w:tcW w:w="620" w:type="dxa"/>
            <w:tcBorders>
              <w:top w:val="nil"/>
              <w:left w:val="nil"/>
              <w:bottom w:val="single" w:sz="4" w:space="0" w:color="auto"/>
              <w:right w:val="single" w:sz="4" w:space="0" w:color="auto"/>
            </w:tcBorders>
            <w:shd w:val="clear" w:color="auto" w:fill="auto"/>
            <w:noWrap/>
            <w:vAlign w:val="bottom"/>
            <w:hideMark/>
          </w:tcPr>
          <w:p w14:paraId="1A76D57F" w14:textId="77777777" w:rsidR="006B5C79" w:rsidRPr="00E30AD0" w:rsidRDefault="006B5C79" w:rsidP="000029BC">
            <w:pPr>
              <w:spacing w:after="0" w:line="276" w:lineRule="auto"/>
              <w:jc w:val="right"/>
              <w:rPr>
                <w:rFonts w:ascii="Calibri" w:eastAsia="Times New Roman" w:hAnsi="Calibri" w:cs="Calibri"/>
                <w:color w:val="000000"/>
                <w:sz w:val="18"/>
                <w:szCs w:val="18"/>
                <w:lang w:eastAsia="sk-SK"/>
              </w:rPr>
            </w:pPr>
            <w:r w:rsidRPr="00E30AD0">
              <w:rPr>
                <w:rFonts w:ascii="Calibri" w:eastAsia="Times New Roman" w:hAnsi="Calibri" w:cs="Calibri"/>
                <w:color w:val="000000"/>
                <w:sz w:val="18"/>
                <w:szCs w:val="18"/>
                <w:lang w:eastAsia="sk-SK"/>
              </w:rPr>
              <w:t>1473</w:t>
            </w:r>
          </w:p>
        </w:tc>
        <w:tc>
          <w:tcPr>
            <w:tcW w:w="620" w:type="dxa"/>
            <w:tcBorders>
              <w:top w:val="nil"/>
              <w:left w:val="nil"/>
              <w:bottom w:val="single" w:sz="4" w:space="0" w:color="auto"/>
              <w:right w:val="single" w:sz="4" w:space="0" w:color="auto"/>
            </w:tcBorders>
            <w:shd w:val="clear" w:color="auto" w:fill="auto"/>
            <w:noWrap/>
            <w:vAlign w:val="bottom"/>
            <w:hideMark/>
          </w:tcPr>
          <w:p w14:paraId="5BE91797" w14:textId="77777777" w:rsidR="006B5C79" w:rsidRPr="00E30AD0" w:rsidRDefault="006B5C79" w:rsidP="000029BC">
            <w:pPr>
              <w:spacing w:after="0" w:line="276" w:lineRule="auto"/>
              <w:jc w:val="right"/>
              <w:rPr>
                <w:rFonts w:ascii="Calibri" w:eastAsia="Times New Roman" w:hAnsi="Calibri" w:cs="Calibri"/>
                <w:color w:val="000000"/>
                <w:sz w:val="18"/>
                <w:szCs w:val="18"/>
                <w:lang w:eastAsia="sk-SK"/>
              </w:rPr>
            </w:pPr>
            <w:r w:rsidRPr="00E30AD0">
              <w:rPr>
                <w:rFonts w:ascii="Calibri" w:eastAsia="Times New Roman" w:hAnsi="Calibri" w:cs="Calibri"/>
                <w:color w:val="000000"/>
                <w:sz w:val="18"/>
                <w:szCs w:val="18"/>
                <w:lang w:eastAsia="sk-SK"/>
              </w:rPr>
              <w:t>1459</w:t>
            </w:r>
          </w:p>
        </w:tc>
        <w:tc>
          <w:tcPr>
            <w:tcW w:w="620" w:type="dxa"/>
            <w:tcBorders>
              <w:top w:val="nil"/>
              <w:left w:val="nil"/>
              <w:bottom w:val="single" w:sz="4" w:space="0" w:color="auto"/>
              <w:right w:val="single" w:sz="4" w:space="0" w:color="auto"/>
            </w:tcBorders>
            <w:shd w:val="clear" w:color="auto" w:fill="auto"/>
            <w:noWrap/>
            <w:vAlign w:val="bottom"/>
            <w:hideMark/>
          </w:tcPr>
          <w:p w14:paraId="183AED60" w14:textId="77777777" w:rsidR="006B5C79" w:rsidRPr="00E30AD0" w:rsidRDefault="006B5C79" w:rsidP="000029BC">
            <w:pPr>
              <w:spacing w:after="0" w:line="276" w:lineRule="auto"/>
              <w:jc w:val="right"/>
              <w:rPr>
                <w:rFonts w:ascii="Calibri" w:eastAsia="Times New Roman" w:hAnsi="Calibri" w:cs="Calibri"/>
                <w:color w:val="000000"/>
                <w:sz w:val="18"/>
                <w:szCs w:val="18"/>
                <w:lang w:eastAsia="sk-SK"/>
              </w:rPr>
            </w:pPr>
            <w:r w:rsidRPr="00E30AD0">
              <w:rPr>
                <w:rFonts w:ascii="Calibri" w:eastAsia="Times New Roman" w:hAnsi="Calibri" w:cs="Calibri"/>
                <w:color w:val="000000"/>
                <w:sz w:val="18"/>
                <w:szCs w:val="18"/>
                <w:lang w:eastAsia="sk-SK"/>
              </w:rPr>
              <w:t>1467</w:t>
            </w:r>
          </w:p>
        </w:tc>
        <w:tc>
          <w:tcPr>
            <w:tcW w:w="620" w:type="dxa"/>
            <w:tcBorders>
              <w:top w:val="nil"/>
              <w:left w:val="nil"/>
              <w:bottom w:val="single" w:sz="4" w:space="0" w:color="auto"/>
              <w:right w:val="single" w:sz="4" w:space="0" w:color="auto"/>
            </w:tcBorders>
            <w:shd w:val="clear" w:color="auto" w:fill="auto"/>
            <w:noWrap/>
            <w:vAlign w:val="bottom"/>
            <w:hideMark/>
          </w:tcPr>
          <w:p w14:paraId="27B13679" w14:textId="77777777" w:rsidR="006B5C79" w:rsidRPr="00E30AD0" w:rsidRDefault="006B5C79" w:rsidP="000029BC">
            <w:pPr>
              <w:spacing w:after="0" w:line="276" w:lineRule="auto"/>
              <w:jc w:val="right"/>
              <w:rPr>
                <w:rFonts w:ascii="Calibri" w:eastAsia="Times New Roman" w:hAnsi="Calibri" w:cs="Calibri"/>
                <w:color w:val="000000"/>
                <w:sz w:val="18"/>
                <w:szCs w:val="18"/>
                <w:lang w:eastAsia="sk-SK"/>
              </w:rPr>
            </w:pPr>
            <w:r w:rsidRPr="00E30AD0">
              <w:rPr>
                <w:rFonts w:ascii="Calibri" w:eastAsia="Times New Roman" w:hAnsi="Calibri" w:cs="Calibri"/>
                <w:color w:val="000000"/>
                <w:sz w:val="18"/>
                <w:szCs w:val="18"/>
                <w:lang w:eastAsia="sk-SK"/>
              </w:rPr>
              <w:t>1349</w:t>
            </w:r>
          </w:p>
        </w:tc>
        <w:tc>
          <w:tcPr>
            <w:tcW w:w="620" w:type="dxa"/>
            <w:tcBorders>
              <w:top w:val="nil"/>
              <w:left w:val="nil"/>
              <w:bottom w:val="single" w:sz="4" w:space="0" w:color="auto"/>
              <w:right w:val="single" w:sz="4" w:space="0" w:color="auto"/>
            </w:tcBorders>
            <w:shd w:val="clear" w:color="auto" w:fill="auto"/>
            <w:noWrap/>
            <w:vAlign w:val="bottom"/>
            <w:hideMark/>
          </w:tcPr>
          <w:p w14:paraId="54837515" w14:textId="77777777" w:rsidR="006B5C79" w:rsidRPr="00E30AD0" w:rsidRDefault="006B5C79" w:rsidP="000029BC">
            <w:pPr>
              <w:spacing w:after="0" w:line="276" w:lineRule="auto"/>
              <w:jc w:val="right"/>
              <w:rPr>
                <w:rFonts w:ascii="Calibri" w:eastAsia="Times New Roman" w:hAnsi="Calibri" w:cs="Calibri"/>
                <w:color w:val="000000"/>
                <w:sz w:val="18"/>
                <w:szCs w:val="18"/>
                <w:lang w:eastAsia="sk-SK"/>
              </w:rPr>
            </w:pPr>
            <w:r w:rsidRPr="00E30AD0">
              <w:rPr>
                <w:rFonts w:ascii="Calibri" w:eastAsia="Times New Roman" w:hAnsi="Calibri" w:cs="Calibri"/>
                <w:color w:val="000000"/>
                <w:sz w:val="18"/>
                <w:szCs w:val="18"/>
                <w:lang w:eastAsia="sk-SK"/>
              </w:rPr>
              <w:t>1353</w:t>
            </w:r>
          </w:p>
        </w:tc>
        <w:tc>
          <w:tcPr>
            <w:tcW w:w="620" w:type="dxa"/>
            <w:tcBorders>
              <w:top w:val="nil"/>
              <w:left w:val="nil"/>
              <w:bottom w:val="single" w:sz="4" w:space="0" w:color="auto"/>
              <w:right w:val="single" w:sz="4" w:space="0" w:color="auto"/>
            </w:tcBorders>
            <w:shd w:val="clear" w:color="auto" w:fill="auto"/>
            <w:noWrap/>
            <w:vAlign w:val="bottom"/>
            <w:hideMark/>
          </w:tcPr>
          <w:p w14:paraId="522F7826" w14:textId="77777777" w:rsidR="006B5C79" w:rsidRPr="00E30AD0" w:rsidRDefault="006B5C79" w:rsidP="000029BC">
            <w:pPr>
              <w:spacing w:after="0" w:line="276" w:lineRule="auto"/>
              <w:jc w:val="right"/>
              <w:rPr>
                <w:rFonts w:ascii="Calibri" w:eastAsia="Times New Roman" w:hAnsi="Calibri" w:cs="Calibri"/>
                <w:color w:val="000000"/>
                <w:sz w:val="18"/>
                <w:szCs w:val="18"/>
                <w:lang w:eastAsia="sk-SK"/>
              </w:rPr>
            </w:pPr>
            <w:r w:rsidRPr="00E30AD0">
              <w:rPr>
                <w:rFonts w:ascii="Calibri" w:eastAsia="Times New Roman" w:hAnsi="Calibri" w:cs="Calibri"/>
                <w:color w:val="000000"/>
                <w:sz w:val="18"/>
                <w:szCs w:val="18"/>
                <w:lang w:eastAsia="sk-SK"/>
              </w:rPr>
              <w:t>1320</w:t>
            </w:r>
          </w:p>
        </w:tc>
        <w:tc>
          <w:tcPr>
            <w:tcW w:w="620" w:type="dxa"/>
            <w:tcBorders>
              <w:top w:val="nil"/>
              <w:left w:val="nil"/>
              <w:bottom w:val="single" w:sz="4" w:space="0" w:color="auto"/>
              <w:right w:val="single" w:sz="4" w:space="0" w:color="auto"/>
            </w:tcBorders>
            <w:shd w:val="clear" w:color="auto" w:fill="auto"/>
            <w:noWrap/>
            <w:vAlign w:val="bottom"/>
            <w:hideMark/>
          </w:tcPr>
          <w:p w14:paraId="02213BA0" w14:textId="77777777" w:rsidR="006B5C79" w:rsidRPr="00E30AD0" w:rsidRDefault="006B5C79" w:rsidP="000029BC">
            <w:pPr>
              <w:keepNext/>
              <w:spacing w:after="0" w:line="276" w:lineRule="auto"/>
              <w:jc w:val="right"/>
              <w:rPr>
                <w:rFonts w:ascii="Calibri" w:eastAsia="Times New Roman" w:hAnsi="Calibri" w:cs="Calibri"/>
                <w:color w:val="000000"/>
                <w:sz w:val="18"/>
                <w:szCs w:val="18"/>
                <w:lang w:eastAsia="sk-SK"/>
              </w:rPr>
            </w:pPr>
            <w:r w:rsidRPr="00E30AD0">
              <w:rPr>
                <w:rFonts w:ascii="Calibri" w:eastAsia="Times New Roman" w:hAnsi="Calibri" w:cs="Calibri"/>
                <w:color w:val="000000"/>
                <w:sz w:val="18"/>
                <w:szCs w:val="18"/>
                <w:lang w:eastAsia="sk-SK"/>
              </w:rPr>
              <w:t>1214</w:t>
            </w:r>
          </w:p>
        </w:tc>
      </w:tr>
    </w:tbl>
    <w:p w14:paraId="2249B771" w14:textId="0D50D6CD" w:rsidR="006B5C79" w:rsidRPr="00A25E53" w:rsidRDefault="006B5C79" w:rsidP="006B5C79">
      <w:pPr>
        <w:pStyle w:val="Popis"/>
        <w:spacing w:line="276" w:lineRule="auto"/>
        <w:rPr>
          <w:b/>
          <w:i w:val="0"/>
          <w:color w:val="auto"/>
        </w:rPr>
      </w:pPr>
      <w:r w:rsidRPr="00B265FB">
        <w:rPr>
          <w:b/>
          <w:i w:val="0"/>
          <w:color w:val="auto"/>
        </w:rPr>
        <w:t xml:space="preserve">Tabuľka </w:t>
      </w:r>
      <w:r w:rsidR="00FF36C8">
        <w:rPr>
          <w:b/>
          <w:i w:val="0"/>
          <w:color w:val="auto"/>
        </w:rPr>
        <w:fldChar w:fldCharType="begin"/>
      </w:r>
      <w:r w:rsidR="00FF36C8">
        <w:rPr>
          <w:b/>
          <w:i w:val="0"/>
          <w:color w:val="auto"/>
        </w:rPr>
        <w:instrText xml:space="preserve"> SEQ Tabuľka \* ARABIC </w:instrText>
      </w:r>
      <w:r w:rsidR="00FF36C8">
        <w:rPr>
          <w:b/>
          <w:i w:val="0"/>
          <w:color w:val="auto"/>
        </w:rPr>
        <w:fldChar w:fldCharType="separate"/>
      </w:r>
      <w:r w:rsidR="00FF36C8">
        <w:rPr>
          <w:b/>
          <w:i w:val="0"/>
          <w:noProof/>
          <w:color w:val="auto"/>
        </w:rPr>
        <w:t>6</w:t>
      </w:r>
      <w:r w:rsidR="00FF36C8">
        <w:rPr>
          <w:b/>
          <w:i w:val="0"/>
          <w:color w:val="auto"/>
        </w:rPr>
        <w:fldChar w:fldCharType="end"/>
      </w:r>
      <w:r w:rsidRPr="00B265FB">
        <w:rPr>
          <w:b/>
          <w:i w:val="0"/>
          <w:color w:val="auto"/>
        </w:rPr>
        <w:t>.</w:t>
      </w:r>
      <w:r>
        <w:rPr>
          <w:b/>
          <w:i w:val="0"/>
          <w:color w:val="auto"/>
        </w:rPr>
        <w:t xml:space="preserve"> Priebeh</w:t>
      </w:r>
      <w:r w:rsidRPr="00B265FB">
        <w:rPr>
          <w:b/>
          <w:i w:val="0"/>
          <w:color w:val="auto"/>
        </w:rPr>
        <w:t xml:space="preserve"> </w:t>
      </w:r>
      <w:r>
        <w:rPr>
          <w:b/>
          <w:i w:val="0"/>
          <w:color w:val="auto"/>
        </w:rPr>
        <w:t>p</w:t>
      </w:r>
      <w:r w:rsidRPr="00B265FB">
        <w:rPr>
          <w:b/>
          <w:i w:val="0"/>
          <w:color w:val="auto"/>
        </w:rPr>
        <w:t>očt</w:t>
      </w:r>
      <w:r>
        <w:rPr>
          <w:b/>
          <w:i w:val="0"/>
          <w:color w:val="auto"/>
        </w:rPr>
        <w:t>u evidovaných</w:t>
      </w:r>
      <w:r w:rsidRPr="00B265FB">
        <w:rPr>
          <w:b/>
          <w:i w:val="0"/>
          <w:color w:val="auto"/>
        </w:rPr>
        <w:t xml:space="preserve"> uchádzačov o zamestnanie v</w:t>
      </w:r>
      <w:r>
        <w:rPr>
          <w:b/>
          <w:i w:val="0"/>
          <w:color w:val="auto"/>
        </w:rPr>
        <w:t xml:space="preserve"> obciach </w:t>
      </w:r>
      <w:r w:rsidRPr="00B265FB">
        <w:rPr>
          <w:b/>
          <w:i w:val="0"/>
          <w:color w:val="auto"/>
        </w:rPr>
        <w:t>severnej a južnej časti NP Slovenský raj v rokoch 2005-2016. Zdroj: Vlastné spracovanie K</w:t>
      </w:r>
      <w:r>
        <w:rPr>
          <w:b/>
          <w:i w:val="0"/>
          <w:color w:val="auto"/>
        </w:rPr>
        <w:t>RI</w:t>
      </w:r>
      <w:r w:rsidRPr="00B265FB">
        <w:rPr>
          <w:b/>
          <w:i w:val="0"/>
          <w:color w:val="auto"/>
        </w:rPr>
        <w:t>, Košice 2018, ŠÚ SR</w:t>
      </w:r>
      <w:r>
        <w:rPr>
          <w:b/>
          <w:i w:val="0"/>
          <w:color w:val="auto"/>
        </w:rPr>
        <w:t xml:space="preserve"> k 31.12.2016.</w:t>
      </w:r>
    </w:p>
    <w:p w14:paraId="010F2DB7" w14:textId="77777777" w:rsidR="006B5C79" w:rsidRDefault="006B5C79" w:rsidP="006B5C79">
      <w:pPr>
        <w:keepNext/>
        <w:spacing w:line="276" w:lineRule="auto"/>
      </w:pPr>
      <w:r>
        <w:rPr>
          <w:noProof/>
          <w:lang w:val="en-GB" w:eastAsia="en-GB"/>
        </w:rPr>
        <w:drawing>
          <wp:inline distT="0" distB="0" distL="0" distR="0" wp14:anchorId="3A00354D" wp14:editId="35099753">
            <wp:extent cx="4857750" cy="2733675"/>
            <wp:effectExtent l="0" t="0" r="0" b="9525"/>
            <wp:docPr id="6" name="Graf 6">
              <a:extLst xmlns:a="http://schemas.openxmlformats.org/drawingml/2006/main">
                <a:ext uri="{FF2B5EF4-FFF2-40B4-BE49-F238E27FC236}">
                  <a16:creationId xmlns:a16="http://schemas.microsoft.com/office/drawing/2014/main" id="{D9AE4669-DFB2-4B3F-A516-7275B78438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E5979C8" w14:textId="176535F0" w:rsidR="006B5C79" w:rsidRDefault="006B5C79" w:rsidP="006B5C79">
      <w:pPr>
        <w:pStyle w:val="Popis"/>
        <w:spacing w:line="276" w:lineRule="auto"/>
        <w:rPr>
          <w:b/>
          <w:i w:val="0"/>
          <w:color w:val="auto"/>
        </w:rPr>
      </w:pPr>
      <w:r w:rsidRPr="00516561">
        <w:rPr>
          <w:b/>
          <w:i w:val="0"/>
          <w:color w:val="auto"/>
        </w:rPr>
        <w:t xml:space="preserve">Obrázok </w:t>
      </w:r>
      <w:r w:rsidRPr="00516561">
        <w:rPr>
          <w:b/>
          <w:i w:val="0"/>
          <w:color w:val="auto"/>
        </w:rPr>
        <w:fldChar w:fldCharType="begin"/>
      </w:r>
      <w:r w:rsidRPr="00516561">
        <w:rPr>
          <w:b/>
          <w:i w:val="0"/>
          <w:color w:val="auto"/>
        </w:rPr>
        <w:instrText xml:space="preserve"> SEQ Obrázok \* ARABIC </w:instrText>
      </w:r>
      <w:r w:rsidRPr="00516561">
        <w:rPr>
          <w:b/>
          <w:i w:val="0"/>
          <w:color w:val="auto"/>
        </w:rPr>
        <w:fldChar w:fldCharType="separate"/>
      </w:r>
      <w:r w:rsidR="006F524D">
        <w:rPr>
          <w:b/>
          <w:i w:val="0"/>
          <w:noProof/>
          <w:color w:val="auto"/>
        </w:rPr>
        <w:t>4</w:t>
      </w:r>
      <w:r w:rsidRPr="00516561">
        <w:rPr>
          <w:b/>
          <w:i w:val="0"/>
          <w:color w:val="auto"/>
        </w:rPr>
        <w:fldChar w:fldCharType="end"/>
      </w:r>
      <w:r w:rsidRPr="00516561">
        <w:rPr>
          <w:b/>
          <w:i w:val="0"/>
          <w:color w:val="auto"/>
        </w:rPr>
        <w:t xml:space="preserve">. </w:t>
      </w:r>
      <w:r>
        <w:rPr>
          <w:b/>
          <w:i w:val="0"/>
          <w:color w:val="auto"/>
        </w:rPr>
        <w:t>P</w:t>
      </w:r>
      <w:r w:rsidRPr="00516561">
        <w:rPr>
          <w:b/>
          <w:i w:val="0"/>
          <w:color w:val="auto"/>
        </w:rPr>
        <w:t>očet uchádzačov o zamestnanie v</w:t>
      </w:r>
      <w:r>
        <w:rPr>
          <w:b/>
          <w:i w:val="0"/>
          <w:color w:val="auto"/>
        </w:rPr>
        <w:t xml:space="preserve"> obciach</w:t>
      </w:r>
      <w:r w:rsidRPr="00516561">
        <w:rPr>
          <w:b/>
          <w:i w:val="0"/>
          <w:color w:val="auto"/>
        </w:rPr>
        <w:t xml:space="preserve"> severnej a južnej časti NP Slovenský raj v rokoch 2005-2016. Zdroj: Vlastné spracovanie K</w:t>
      </w:r>
      <w:r>
        <w:rPr>
          <w:b/>
          <w:i w:val="0"/>
          <w:color w:val="auto"/>
        </w:rPr>
        <w:t>RI</w:t>
      </w:r>
      <w:r w:rsidRPr="00516561">
        <w:rPr>
          <w:b/>
          <w:i w:val="0"/>
          <w:color w:val="auto"/>
        </w:rPr>
        <w:t>, Košice 2018, ŠÚ SR k 31.12.2016.</w:t>
      </w:r>
    </w:p>
    <w:p w14:paraId="09A1BF42" w14:textId="77777777" w:rsidR="006B5C79" w:rsidRPr="00F56F3A" w:rsidRDefault="006B5C79" w:rsidP="006B5C79">
      <w:pPr>
        <w:pStyle w:val="Popis"/>
        <w:spacing w:line="276" w:lineRule="auto"/>
      </w:pPr>
    </w:p>
    <w:tbl>
      <w:tblPr>
        <w:tblW w:w="70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9"/>
        <w:gridCol w:w="2461"/>
        <w:gridCol w:w="3544"/>
      </w:tblGrid>
      <w:tr w:rsidR="006B5C79" w:rsidRPr="00F56F3A" w14:paraId="4B8BAAD1" w14:textId="77777777" w:rsidTr="000029BC">
        <w:trPr>
          <w:trHeight w:val="283"/>
        </w:trPr>
        <w:tc>
          <w:tcPr>
            <w:tcW w:w="1049" w:type="dxa"/>
            <w:shd w:val="clear" w:color="auto" w:fill="BFBFBF" w:themeFill="background1" w:themeFillShade="BF"/>
            <w:noWrap/>
            <w:vAlign w:val="center"/>
          </w:tcPr>
          <w:p w14:paraId="1D32FE80" w14:textId="77777777" w:rsidR="006B5C79" w:rsidRPr="00F56F3A" w:rsidRDefault="006B5C79" w:rsidP="000029BC">
            <w:pPr>
              <w:spacing w:line="276" w:lineRule="auto"/>
              <w:jc w:val="center"/>
              <w:rPr>
                <w:b/>
                <w:bCs/>
                <w:color w:val="000000" w:themeColor="text1"/>
                <w:sz w:val="18"/>
                <w:szCs w:val="18"/>
                <w:lang w:eastAsia="sk-SK"/>
              </w:rPr>
            </w:pPr>
            <w:r w:rsidRPr="00F56F3A">
              <w:rPr>
                <w:b/>
                <w:bCs/>
                <w:color w:val="000000" w:themeColor="text1"/>
                <w:sz w:val="18"/>
                <w:szCs w:val="18"/>
                <w:lang w:eastAsia="sk-SK"/>
              </w:rPr>
              <w:lastRenderedPageBreak/>
              <w:t>rok/počet</w:t>
            </w:r>
          </w:p>
        </w:tc>
        <w:tc>
          <w:tcPr>
            <w:tcW w:w="2461" w:type="dxa"/>
            <w:shd w:val="clear" w:color="auto" w:fill="BFBFBF" w:themeFill="background1" w:themeFillShade="BF"/>
            <w:vAlign w:val="center"/>
          </w:tcPr>
          <w:p w14:paraId="485A3ED4" w14:textId="77777777" w:rsidR="006B5C79" w:rsidRPr="00F56F3A" w:rsidRDefault="006B5C79" w:rsidP="000029BC">
            <w:pPr>
              <w:spacing w:line="276" w:lineRule="auto"/>
              <w:jc w:val="center"/>
              <w:rPr>
                <w:b/>
                <w:bCs/>
                <w:color w:val="000000" w:themeColor="text1"/>
                <w:sz w:val="18"/>
                <w:szCs w:val="18"/>
                <w:lang w:eastAsia="sk-SK"/>
              </w:rPr>
            </w:pPr>
            <w:r w:rsidRPr="00F56F3A">
              <w:rPr>
                <w:b/>
                <w:bCs/>
                <w:color w:val="000000" w:themeColor="text1"/>
                <w:sz w:val="18"/>
                <w:szCs w:val="18"/>
                <w:lang w:eastAsia="sk-SK"/>
              </w:rPr>
              <w:t>disponibilný počet UoZ</w:t>
            </w:r>
          </w:p>
        </w:tc>
        <w:tc>
          <w:tcPr>
            <w:tcW w:w="3544" w:type="dxa"/>
            <w:shd w:val="clear" w:color="auto" w:fill="BFBFBF" w:themeFill="background1" w:themeFillShade="BF"/>
            <w:vAlign w:val="center"/>
          </w:tcPr>
          <w:p w14:paraId="49292C0C" w14:textId="77777777" w:rsidR="006B5C79" w:rsidRPr="00F56F3A" w:rsidRDefault="006B5C79" w:rsidP="000029BC">
            <w:pPr>
              <w:spacing w:line="276" w:lineRule="auto"/>
              <w:jc w:val="center"/>
              <w:rPr>
                <w:b/>
                <w:bCs/>
                <w:color w:val="000000" w:themeColor="text1"/>
                <w:sz w:val="18"/>
                <w:szCs w:val="18"/>
                <w:lang w:eastAsia="sk-SK"/>
              </w:rPr>
            </w:pPr>
            <w:r w:rsidRPr="00F56F3A">
              <w:rPr>
                <w:b/>
                <w:bCs/>
                <w:color w:val="000000" w:themeColor="text1"/>
                <w:sz w:val="18"/>
                <w:szCs w:val="18"/>
                <w:lang w:eastAsia="sk-SK"/>
              </w:rPr>
              <w:t>% podiel disp. počtu UoZ na produkt. obyv.</w:t>
            </w:r>
          </w:p>
        </w:tc>
      </w:tr>
      <w:tr w:rsidR="006B5C79" w:rsidRPr="00F56F3A" w14:paraId="1DB6FEC5" w14:textId="77777777" w:rsidTr="000029BC">
        <w:trPr>
          <w:trHeight w:val="283"/>
        </w:trPr>
        <w:tc>
          <w:tcPr>
            <w:tcW w:w="1049" w:type="dxa"/>
            <w:noWrap/>
            <w:vAlign w:val="center"/>
          </w:tcPr>
          <w:p w14:paraId="4824E154" w14:textId="77777777" w:rsidR="006B5C79" w:rsidRPr="00F56F3A" w:rsidRDefault="006B5C79" w:rsidP="000029BC">
            <w:pPr>
              <w:spacing w:line="276" w:lineRule="auto"/>
              <w:jc w:val="center"/>
              <w:rPr>
                <w:bCs/>
                <w:color w:val="000000" w:themeColor="text1"/>
                <w:sz w:val="18"/>
                <w:szCs w:val="18"/>
                <w:lang w:eastAsia="sk-SK"/>
              </w:rPr>
            </w:pPr>
            <w:r w:rsidRPr="00F56F3A">
              <w:rPr>
                <w:bCs/>
                <w:color w:val="000000" w:themeColor="text1"/>
                <w:sz w:val="18"/>
                <w:szCs w:val="18"/>
                <w:lang w:eastAsia="sk-SK"/>
              </w:rPr>
              <w:t>201</w:t>
            </w:r>
            <w:r>
              <w:rPr>
                <w:bCs/>
                <w:color w:val="000000" w:themeColor="text1"/>
                <w:sz w:val="18"/>
                <w:szCs w:val="18"/>
                <w:lang w:eastAsia="sk-SK"/>
              </w:rPr>
              <w:t>6</w:t>
            </w:r>
          </w:p>
        </w:tc>
        <w:tc>
          <w:tcPr>
            <w:tcW w:w="2461" w:type="dxa"/>
            <w:noWrap/>
            <w:vAlign w:val="center"/>
          </w:tcPr>
          <w:p w14:paraId="49E51F58" w14:textId="77777777" w:rsidR="006B5C79" w:rsidRPr="00F56F3A" w:rsidRDefault="006B5C79" w:rsidP="000029BC">
            <w:pPr>
              <w:spacing w:line="276" w:lineRule="auto"/>
              <w:jc w:val="center"/>
              <w:rPr>
                <w:color w:val="000000" w:themeColor="text1"/>
                <w:sz w:val="18"/>
                <w:szCs w:val="18"/>
                <w:lang w:eastAsia="sk-SK"/>
              </w:rPr>
            </w:pPr>
            <w:r>
              <w:rPr>
                <w:color w:val="000000" w:themeColor="text1"/>
                <w:sz w:val="18"/>
                <w:szCs w:val="18"/>
                <w:lang w:eastAsia="sk-SK"/>
              </w:rPr>
              <w:t>2579</w:t>
            </w:r>
          </w:p>
        </w:tc>
        <w:tc>
          <w:tcPr>
            <w:tcW w:w="3544" w:type="dxa"/>
            <w:vAlign w:val="center"/>
          </w:tcPr>
          <w:p w14:paraId="75F045E9" w14:textId="77777777" w:rsidR="006B5C79" w:rsidRPr="00F56F3A" w:rsidRDefault="006B5C79" w:rsidP="000029BC">
            <w:pPr>
              <w:keepNext/>
              <w:spacing w:line="276" w:lineRule="auto"/>
              <w:jc w:val="center"/>
              <w:rPr>
                <w:color w:val="000000" w:themeColor="text1"/>
                <w:sz w:val="18"/>
                <w:szCs w:val="18"/>
                <w:lang w:eastAsia="sk-SK"/>
              </w:rPr>
            </w:pPr>
            <w:r>
              <w:rPr>
                <w:color w:val="000000" w:themeColor="text1"/>
                <w:sz w:val="18"/>
                <w:szCs w:val="18"/>
                <w:lang w:eastAsia="sk-SK"/>
              </w:rPr>
              <w:t>15,3</w:t>
            </w:r>
            <w:r w:rsidRPr="00F56F3A">
              <w:rPr>
                <w:color w:val="000000" w:themeColor="text1"/>
                <w:sz w:val="18"/>
                <w:szCs w:val="18"/>
                <w:lang w:eastAsia="sk-SK"/>
              </w:rPr>
              <w:t>%</w:t>
            </w:r>
          </w:p>
        </w:tc>
      </w:tr>
    </w:tbl>
    <w:p w14:paraId="1058A09D" w14:textId="39E15E0B" w:rsidR="006B5C79" w:rsidRPr="00AE0D58" w:rsidRDefault="006B5C79" w:rsidP="006B5C79">
      <w:pPr>
        <w:pStyle w:val="Popis"/>
        <w:spacing w:line="276" w:lineRule="auto"/>
        <w:rPr>
          <w:b/>
          <w:i w:val="0"/>
          <w:color w:val="auto"/>
        </w:rPr>
      </w:pPr>
      <w:r w:rsidRPr="00AE0D58">
        <w:rPr>
          <w:b/>
          <w:i w:val="0"/>
          <w:color w:val="auto"/>
        </w:rPr>
        <w:t xml:space="preserve">Tabuľka </w:t>
      </w:r>
      <w:r w:rsidR="00FF36C8">
        <w:rPr>
          <w:b/>
          <w:i w:val="0"/>
          <w:color w:val="auto"/>
        </w:rPr>
        <w:fldChar w:fldCharType="begin"/>
      </w:r>
      <w:r w:rsidR="00FF36C8">
        <w:rPr>
          <w:b/>
          <w:i w:val="0"/>
          <w:color w:val="auto"/>
        </w:rPr>
        <w:instrText xml:space="preserve"> SEQ Tabuľka \* ARABIC </w:instrText>
      </w:r>
      <w:r w:rsidR="00FF36C8">
        <w:rPr>
          <w:b/>
          <w:i w:val="0"/>
          <w:color w:val="auto"/>
        </w:rPr>
        <w:fldChar w:fldCharType="separate"/>
      </w:r>
      <w:r w:rsidR="00FF36C8">
        <w:rPr>
          <w:b/>
          <w:i w:val="0"/>
          <w:noProof/>
          <w:color w:val="auto"/>
        </w:rPr>
        <w:t>7</w:t>
      </w:r>
      <w:r w:rsidR="00FF36C8">
        <w:rPr>
          <w:b/>
          <w:i w:val="0"/>
          <w:color w:val="auto"/>
        </w:rPr>
        <w:fldChar w:fldCharType="end"/>
      </w:r>
      <w:r w:rsidRPr="00AE0D58">
        <w:rPr>
          <w:b/>
          <w:i w:val="0"/>
          <w:color w:val="auto"/>
        </w:rPr>
        <w:t>. Počet UoZ v obciach severnej časti Slovenského raja v rok</w:t>
      </w:r>
      <w:r>
        <w:rPr>
          <w:b/>
          <w:i w:val="0"/>
          <w:color w:val="auto"/>
        </w:rPr>
        <w:t>u</w:t>
      </w:r>
      <w:r w:rsidRPr="00AE0D58">
        <w:rPr>
          <w:b/>
          <w:i w:val="0"/>
          <w:color w:val="auto"/>
        </w:rPr>
        <w:t xml:space="preserve"> 2016. Zdroj: ÚPSVaR, Poprad, ÚPSVaR Rožňava, ÚPSVaR Spišská Nová Ves, vlastné spracovanie KRI, Košice 2018</w:t>
      </w:r>
      <w:r>
        <w:rPr>
          <w:b/>
          <w:i w:val="0"/>
          <w:color w:val="auto"/>
        </w:rPr>
        <w:t xml:space="preserve"> k 31.12.2016</w:t>
      </w:r>
    </w:p>
    <w:tbl>
      <w:tblPr>
        <w:tblW w:w="70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9"/>
        <w:gridCol w:w="2320"/>
        <w:gridCol w:w="3685"/>
      </w:tblGrid>
      <w:tr w:rsidR="006B5C79" w:rsidRPr="00F56F3A" w14:paraId="1C0A58FE" w14:textId="77777777" w:rsidTr="000029BC">
        <w:trPr>
          <w:trHeight w:val="283"/>
        </w:trPr>
        <w:tc>
          <w:tcPr>
            <w:tcW w:w="1049" w:type="dxa"/>
            <w:shd w:val="clear" w:color="auto" w:fill="BFBFBF" w:themeFill="background1" w:themeFillShade="BF"/>
            <w:noWrap/>
            <w:vAlign w:val="center"/>
          </w:tcPr>
          <w:p w14:paraId="331660BB" w14:textId="77777777" w:rsidR="006B5C79" w:rsidRPr="00F56F3A" w:rsidRDefault="006B5C79" w:rsidP="000029BC">
            <w:pPr>
              <w:spacing w:line="276" w:lineRule="auto"/>
              <w:jc w:val="center"/>
              <w:rPr>
                <w:b/>
                <w:bCs/>
                <w:color w:val="000000" w:themeColor="text1"/>
                <w:sz w:val="18"/>
                <w:szCs w:val="18"/>
                <w:lang w:eastAsia="sk-SK"/>
              </w:rPr>
            </w:pPr>
            <w:r w:rsidRPr="00F56F3A">
              <w:rPr>
                <w:b/>
                <w:bCs/>
                <w:color w:val="000000" w:themeColor="text1"/>
                <w:sz w:val="18"/>
                <w:szCs w:val="18"/>
                <w:lang w:eastAsia="sk-SK"/>
              </w:rPr>
              <w:t>rok/počet</w:t>
            </w:r>
          </w:p>
        </w:tc>
        <w:tc>
          <w:tcPr>
            <w:tcW w:w="2320" w:type="dxa"/>
            <w:shd w:val="clear" w:color="auto" w:fill="BFBFBF" w:themeFill="background1" w:themeFillShade="BF"/>
            <w:vAlign w:val="center"/>
          </w:tcPr>
          <w:p w14:paraId="7C89BA86" w14:textId="77777777" w:rsidR="006B5C79" w:rsidRPr="00F56F3A" w:rsidRDefault="006B5C79" w:rsidP="000029BC">
            <w:pPr>
              <w:spacing w:line="276" w:lineRule="auto"/>
              <w:jc w:val="center"/>
              <w:rPr>
                <w:b/>
                <w:bCs/>
                <w:color w:val="000000" w:themeColor="text1"/>
                <w:sz w:val="18"/>
                <w:szCs w:val="18"/>
                <w:lang w:eastAsia="sk-SK"/>
              </w:rPr>
            </w:pPr>
            <w:r w:rsidRPr="00F56F3A">
              <w:rPr>
                <w:b/>
                <w:bCs/>
                <w:color w:val="000000" w:themeColor="text1"/>
                <w:sz w:val="18"/>
                <w:szCs w:val="18"/>
                <w:lang w:eastAsia="sk-SK"/>
              </w:rPr>
              <w:t>disponibilný počet UoZ</w:t>
            </w:r>
          </w:p>
        </w:tc>
        <w:tc>
          <w:tcPr>
            <w:tcW w:w="3685" w:type="dxa"/>
            <w:shd w:val="clear" w:color="auto" w:fill="BFBFBF" w:themeFill="background1" w:themeFillShade="BF"/>
            <w:vAlign w:val="center"/>
          </w:tcPr>
          <w:p w14:paraId="4AC5A9A7" w14:textId="77777777" w:rsidR="006B5C79" w:rsidRPr="00F56F3A" w:rsidRDefault="006B5C79" w:rsidP="000029BC">
            <w:pPr>
              <w:spacing w:line="276" w:lineRule="auto"/>
              <w:jc w:val="center"/>
              <w:rPr>
                <w:b/>
                <w:bCs/>
                <w:color w:val="000000" w:themeColor="text1"/>
                <w:sz w:val="18"/>
                <w:szCs w:val="18"/>
                <w:lang w:eastAsia="sk-SK"/>
              </w:rPr>
            </w:pPr>
            <w:r w:rsidRPr="00F56F3A">
              <w:rPr>
                <w:b/>
                <w:bCs/>
                <w:color w:val="000000" w:themeColor="text1"/>
                <w:sz w:val="18"/>
                <w:szCs w:val="18"/>
                <w:lang w:eastAsia="sk-SK"/>
              </w:rPr>
              <w:t>% podiel disp. počtu UoZ na produkt. obyv.</w:t>
            </w:r>
          </w:p>
        </w:tc>
      </w:tr>
      <w:tr w:rsidR="006B5C79" w:rsidRPr="00F56F3A" w14:paraId="034917C6" w14:textId="77777777" w:rsidTr="000029BC">
        <w:trPr>
          <w:trHeight w:val="283"/>
        </w:trPr>
        <w:tc>
          <w:tcPr>
            <w:tcW w:w="1049" w:type="dxa"/>
            <w:noWrap/>
            <w:vAlign w:val="center"/>
          </w:tcPr>
          <w:p w14:paraId="5404BC46" w14:textId="77777777" w:rsidR="006B5C79" w:rsidRPr="00F56F3A" w:rsidRDefault="006B5C79" w:rsidP="000029BC">
            <w:pPr>
              <w:spacing w:line="276" w:lineRule="auto"/>
              <w:jc w:val="center"/>
              <w:rPr>
                <w:bCs/>
                <w:color w:val="000000" w:themeColor="text1"/>
                <w:sz w:val="18"/>
                <w:szCs w:val="18"/>
                <w:lang w:eastAsia="sk-SK"/>
              </w:rPr>
            </w:pPr>
            <w:r w:rsidRPr="00F56F3A">
              <w:rPr>
                <w:bCs/>
                <w:color w:val="000000" w:themeColor="text1"/>
                <w:sz w:val="18"/>
                <w:szCs w:val="18"/>
                <w:lang w:eastAsia="sk-SK"/>
              </w:rPr>
              <w:t>201</w:t>
            </w:r>
            <w:r>
              <w:rPr>
                <w:bCs/>
                <w:color w:val="000000" w:themeColor="text1"/>
                <w:sz w:val="18"/>
                <w:szCs w:val="18"/>
                <w:lang w:eastAsia="sk-SK"/>
              </w:rPr>
              <w:t>6</w:t>
            </w:r>
          </w:p>
        </w:tc>
        <w:tc>
          <w:tcPr>
            <w:tcW w:w="2320" w:type="dxa"/>
            <w:noWrap/>
            <w:vAlign w:val="center"/>
          </w:tcPr>
          <w:p w14:paraId="54B7A584" w14:textId="77777777" w:rsidR="006B5C79" w:rsidRPr="00F56F3A" w:rsidRDefault="006B5C79" w:rsidP="000029BC">
            <w:pPr>
              <w:spacing w:line="276" w:lineRule="auto"/>
              <w:jc w:val="center"/>
              <w:rPr>
                <w:color w:val="000000" w:themeColor="text1"/>
                <w:sz w:val="18"/>
                <w:szCs w:val="18"/>
                <w:lang w:eastAsia="sk-SK"/>
              </w:rPr>
            </w:pPr>
            <w:r w:rsidRPr="00F56F3A">
              <w:rPr>
                <w:color w:val="000000" w:themeColor="text1"/>
                <w:sz w:val="18"/>
                <w:szCs w:val="18"/>
                <w:lang w:eastAsia="sk-SK"/>
              </w:rPr>
              <w:t>12</w:t>
            </w:r>
            <w:r>
              <w:rPr>
                <w:color w:val="000000" w:themeColor="text1"/>
                <w:sz w:val="18"/>
                <w:szCs w:val="18"/>
                <w:lang w:eastAsia="sk-SK"/>
              </w:rPr>
              <w:t>14</w:t>
            </w:r>
          </w:p>
        </w:tc>
        <w:tc>
          <w:tcPr>
            <w:tcW w:w="3685" w:type="dxa"/>
            <w:vAlign w:val="center"/>
          </w:tcPr>
          <w:p w14:paraId="24559BDC" w14:textId="77777777" w:rsidR="006B5C79" w:rsidRPr="00F56F3A" w:rsidRDefault="006B5C79" w:rsidP="000029BC">
            <w:pPr>
              <w:keepNext/>
              <w:spacing w:line="276" w:lineRule="auto"/>
              <w:jc w:val="center"/>
              <w:rPr>
                <w:color w:val="000000" w:themeColor="text1"/>
                <w:sz w:val="18"/>
                <w:szCs w:val="18"/>
                <w:lang w:eastAsia="sk-SK"/>
              </w:rPr>
            </w:pPr>
            <w:r>
              <w:rPr>
                <w:color w:val="000000" w:themeColor="text1"/>
                <w:sz w:val="18"/>
                <w:szCs w:val="18"/>
                <w:lang w:eastAsia="sk-SK"/>
              </w:rPr>
              <w:t>17,4</w:t>
            </w:r>
            <w:r w:rsidRPr="00F56F3A">
              <w:rPr>
                <w:color w:val="000000" w:themeColor="text1"/>
                <w:sz w:val="18"/>
                <w:szCs w:val="18"/>
                <w:lang w:eastAsia="sk-SK"/>
              </w:rPr>
              <w:t>%</w:t>
            </w:r>
          </w:p>
        </w:tc>
      </w:tr>
    </w:tbl>
    <w:p w14:paraId="76EA9A19" w14:textId="7BECC2DD" w:rsidR="006B5C79" w:rsidRDefault="006B5C79" w:rsidP="006B5C79">
      <w:pPr>
        <w:spacing w:line="276" w:lineRule="auto"/>
        <w:rPr>
          <w:b/>
          <w:sz w:val="18"/>
          <w:szCs w:val="18"/>
        </w:rPr>
      </w:pPr>
      <w:r w:rsidRPr="00AE0D58">
        <w:rPr>
          <w:b/>
          <w:sz w:val="18"/>
          <w:szCs w:val="18"/>
        </w:rPr>
        <w:t xml:space="preserve">Tabuľka </w:t>
      </w:r>
      <w:r w:rsidR="00FF36C8">
        <w:rPr>
          <w:b/>
          <w:sz w:val="18"/>
          <w:szCs w:val="18"/>
        </w:rPr>
        <w:fldChar w:fldCharType="begin"/>
      </w:r>
      <w:r w:rsidR="00FF36C8">
        <w:rPr>
          <w:b/>
          <w:sz w:val="18"/>
          <w:szCs w:val="18"/>
        </w:rPr>
        <w:instrText xml:space="preserve"> SEQ Tabuľka \* ARABIC </w:instrText>
      </w:r>
      <w:r w:rsidR="00FF36C8">
        <w:rPr>
          <w:b/>
          <w:sz w:val="18"/>
          <w:szCs w:val="18"/>
        </w:rPr>
        <w:fldChar w:fldCharType="separate"/>
      </w:r>
      <w:r w:rsidR="00FF36C8">
        <w:rPr>
          <w:b/>
          <w:noProof/>
          <w:sz w:val="18"/>
          <w:szCs w:val="18"/>
        </w:rPr>
        <w:t>8</w:t>
      </w:r>
      <w:r w:rsidR="00FF36C8">
        <w:rPr>
          <w:b/>
          <w:sz w:val="18"/>
          <w:szCs w:val="18"/>
        </w:rPr>
        <w:fldChar w:fldCharType="end"/>
      </w:r>
      <w:r w:rsidRPr="00AE0D58">
        <w:rPr>
          <w:b/>
          <w:sz w:val="18"/>
          <w:szCs w:val="18"/>
        </w:rPr>
        <w:t>. Počet UoZ v obciach južnej časti Slovenského raja v rok</w:t>
      </w:r>
      <w:r>
        <w:rPr>
          <w:b/>
          <w:sz w:val="18"/>
          <w:szCs w:val="18"/>
        </w:rPr>
        <w:t>u</w:t>
      </w:r>
      <w:r w:rsidRPr="00AE0D58">
        <w:rPr>
          <w:b/>
          <w:sz w:val="18"/>
          <w:szCs w:val="18"/>
        </w:rPr>
        <w:t xml:space="preserve"> </w:t>
      </w:r>
      <w:r>
        <w:rPr>
          <w:b/>
          <w:sz w:val="18"/>
          <w:szCs w:val="18"/>
        </w:rPr>
        <w:t>2016</w:t>
      </w:r>
      <w:r w:rsidRPr="00AE0D58">
        <w:rPr>
          <w:b/>
          <w:sz w:val="18"/>
          <w:szCs w:val="18"/>
        </w:rPr>
        <w:t>. Zdroj: ÚPSVaR, Poprad, ÚPSVaR Rožňava, ÚPSVaR Spišská Nová Ves, vlastné spracovanie KRI, Košice</w:t>
      </w:r>
      <w:r>
        <w:rPr>
          <w:b/>
          <w:sz w:val="18"/>
          <w:szCs w:val="18"/>
        </w:rPr>
        <w:t xml:space="preserve"> 2018</w:t>
      </w:r>
      <w:r w:rsidRPr="00AE0D58">
        <w:rPr>
          <w:b/>
          <w:sz w:val="18"/>
          <w:szCs w:val="18"/>
        </w:rPr>
        <w:t xml:space="preserve"> k 31.12.201</w:t>
      </w:r>
      <w:r>
        <w:rPr>
          <w:b/>
          <w:sz w:val="18"/>
          <w:szCs w:val="18"/>
        </w:rPr>
        <w:t>6</w:t>
      </w:r>
      <w:r w:rsidRPr="00AE0D58">
        <w:rPr>
          <w:b/>
          <w:sz w:val="18"/>
          <w:szCs w:val="18"/>
        </w:rPr>
        <w:t>.</w:t>
      </w:r>
    </w:p>
    <w:p w14:paraId="652406FD" w14:textId="67232C94" w:rsidR="006B5C79" w:rsidRPr="00EF5061" w:rsidRDefault="00EF5061" w:rsidP="006B5C79">
      <w:pPr>
        <w:rPr>
          <w:b/>
          <w:i/>
        </w:rPr>
      </w:pPr>
      <w:r>
        <w:rPr>
          <w:b/>
          <w:i/>
        </w:rPr>
        <w:t>Migrácia</w:t>
      </w:r>
    </w:p>
    <w:p w14:paraId="322CFD11" w14:textId="77777777" w:rsidR="006B5C79" w:rsidRDefault="006B5C79" w:rsidP="006B5C79">
      <w:pPr>
        <w:spacing w:line="276" w:lineRule="auto"/>
        <w:jc w:val="both"/>
        <w:rPr>
          <w:rFonts w:cstheme="minorHAnsi"/>
          <w:shd w:val="clear" w:color="auto" w:fill="FFFFFF"/>
        </w:rPr>
      </w:pPr>
      <w:r>
        <w:t xml:space="preserve">V rámci migrácie sa v analýze využíva základný analytický ukazovateľ - migračné saldo, resp. čistá migrácia, čo značí rozdiel medzi počtom prisťahovaných a vysťahovaných. </w:t>
      </w:r>
      <w:r w:rsidRPr="0060400E">
        <w:rPr>
          <w:rFonts w:cstheme="minorHAnsi"/>
          <w:shd w:val="clear" w:color="auto" w:fill="FFFFFF"/>
        </w:rPr>
        <w:t>Kladné </w:t>
      </w:r>
      <w:r w:rsidRPr="0060400E">
        <w:rPr>
          <w:rStyle w:val="Zvraznenie"/>
          <w:rFonts w:cstheme="minorHAnsi"/>
          <w:bCs/>
          <w:i w:val="0"/>
          <w:iCs w:val="0"/>
          <w:shd w:val="clear" w:color="auto" w:fill="FFFFFF"/>
        </w:rPr>
        <w:t>migračné saldo</w:t>
      </w:r>
      <w:r w:rsidRPr="0060400E">
        <w:rPr>
          <w:rFonts w:cstheme="minorHAnsi"/>
          <w:shd w:val="clear" w:color="auto" w:fill="FFFFFF"/>
        </w:rPr>
        <w:t> </w:t>
      </w:r>
      <w:r>
        <w:rPr>
          <w:rFonts w:cstheme="minorHAnsi"/>
          <w:shd w:val="clear" w:color="auto" w:fill="FFFFFF"/>
        </w:rPr>
        <w:t>predstavuje</w:t>
      </w:r>
      <w:r w:rsidRPr="0060400E">
        <w:rPr>
          <w:rFonts w:cstheme="minorHAnsi"/>
          <w:shd w:val="clear" w:color="auto" w:fill="FFFFFF"/>
        </w:rPr>
        <w:t xml:space="preserve"> migračný prírastok, záporné </w:t>
      </w:r>
      <w:r w:rsidRPr="0060400E">
        <w:rPr>
          <w:rStyle w:val="Zvraznenie"/>
          <w:rFonts w:cstheme="minorHAnsi"/>
          <w:bCs/>
          <w:i w:val="0"/>
          <w:iCs w:val="0"/>
          <w:shd w:val="clear" w:color="auto" w:fill="FFFFFF"/>
        </w:rPr>
        <w:t xml:space="preserve">migračné </w:t>
      </w:r>
      <w:r>
        <w:rPr>
          <w:rStyle w:val="Zvraznenie"/>
          <w:rFonts w:cstheme="minorHAnsi"/>
          <w:bCs/>
          <w:i w:val="0"/>
          <w:iCs w:val="0"/>
          <w:shd w:val="clear" w:color="auto" w:fill="FFFFFF"/>
        </w:rPr>
        <w:t xml:space="preserve">saldo </w:t>
      </w:r>
      <w:r w:rsidRPr="0060400E">
        <w:rPr>
          <w:rFonts w:cstheme="minorHAnsi"/>
          <w:shd w:val="clear" w:color="auto" w:fill="FFFFFF"/>
        </w:rPr>
        <w:t>migračný úbytok.</w:t>
      </w:r>
    </w:p>
    <w:p w14:paraId="02F530E6" w14:textId="77777777" w:rsidR="006B5C79" w:rsidRDefault="006B5C79" w:rsidP="006B5C79">
      <w:pPr>
        <w:keepNext/>
        <w:spacing w:line="276" w:lineRule="auto"/>
        <w:jc w:val="both"/>
      </w:pPr>
      <w:r>
        <w:rPr>
          <w:noProof/>
          <w:lang w:val="en-GB" w:eastAsia="en-GB"/>
        </w:rPr>
        <w:drawing>
          <wp:inline distT="0" distB="0" distL="0" distR="0" wp14:anchorId="4BFF2883" wp14:editId="16C20FDF">
            <wp:extent cx="4572000" cy="2743200"/>
            <wp:effectExtent l="0" t="0" r="0" b="0"/>
            <wp:docPr id="13" name="Graf 13">
              <a:extLst xmlns:a="http://schemas.openxmlformats.org/drawingml/2006/main">
                <a:ext uri="{FF2B5EF4-FFF2-40B4-BE49-F238E27FC236}">
                  <a16:creationId xmlns:a16="http://schemas.microsoft.com/office/drawing/2014/main" id="{1C322DB0-55E3-4443-9492-6611E3D718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361921E" w14:textId="5BE2F878" w:rsidR="006B5C79" w:rsidRPr="002C4D0D" w:rsidRDefault="006B5C79" w:rsidP="006B5C79">
      <w:pPr>
        <w:pStyle w:val="Popis"/>
        <w:jc w:val="both"/>
        <w:rPr>
          <w:rFonts w:cstheme="minorHAnsi"/>
          <w:shd w:val="clear" w:color="auto" w:fill="FFFFFF"/>
        </w:rPr>
      </w:pPr>
      <w:r w:rsidRPr="002C4D0D">
        <w:rPr>
          <w:b/>
          <w:i w:val="0"/>
          <w:color w:val="auto"/>
        </w:rPr>
        <w:t xml:space="preserve">Graf </w:t>
      </w:r>
      <w:r w:rsidRPr="002C4D0D">
        <w:rPr>
          <w:b/>
          <w:i w:val="0"/>
          <w:color w:val="auto"/>
        </w:rPr>
        <w:fldChar w:fldCharType="begin"/>
      </w:r>
      <w:r w:rsidRPr="002C4D0D">
        <w:rPr>
          <w:b/>
          <w:i w:val="0"/>
          <w:color w:val="auto"/>
        </w:rPr>
        <w:instrText xml:space="preserve"> SEQ Graf \* ARABIC </w:instrText>
      </w:r>
      <w:r w:rsidRPr="002C4D0D">
        <w:rPr>
          <w:b/>
          <w:i w:val="0"/>
          <w:color w:val="auto"/>
        </w:rPr>
        <w:fldChar w:fldCharType="separate"/>
      </w:r>
      <w:r w:rsidR="00076161">
        <w:rPr>
          <w:b/>
          <w:i w:val="0"/>
          <w:noProof/>
          <w:color w:val="auto"/>
        </w:rPr>
        <w:t>9</w:t>
      </w:r>
      <w:r w:rsidRPr="002C4D0D">
        <w:rPr>
          <w:b/>
          <w:i w:val="0"/>
          <w:color w:val="auto"/>
        </w:rPr>
        <w:fldChar w:fldCharType="end"/>
      </w:r>
      <w:r w:rsidRPr="002C4D0D">
        <w:rPr>
          <w:b/>
          <w:i w:val="0"/>
          <w:color w:val="auto"/>
        </w:rPr>
        <w:t>. Migračné saldo v severnej časti, južnej časti NP Slovenský raj a v meste Spišská Nová Ves. Zdroj: Vlastné spracovanie KRI podľa ŠÚ SR 2018</w:t>
      </w:r>
      <w:r>
        <w:t>.</w:t>
      </w:r>
    </w:p>
    <w:tbl>
      <w:tblPr>
        <w:tblW w:w="5560" w:type="dxa"/>
        <w:tblInd w:w="-5" w:type="dxa"/>
        <w:tblCellMar>
          <w:left w:w="70" w:type="dxa"/>
          <w:right w:w="70" w:type="dxa"/>
        </w:tblCellMar>
        <w:tblLook w:val="04A0" w:firstRow="1" w:lastRow="0" w:firstColumn="1" w:lastColumn="0" w:noHBand="0" w:noVBand="1"/>
      </w:tblPr>
      <w:tblGrid>
        <w:gridCol w:w="1720"/>
        <w:gridCol w:w="960"/>
        <w:gridCol w:w="960"/>
        <w:gridCol w:w="960"/>
        <w:gridCol w:w="960"/>
      </w:tblGrid>
      <w:tr w:rsidR="006B5C79" w:rsidRPr="00410EB6" w14:paraId="05B69FEF" w14:textId="77777777" w:rsidTr="000029BC">
        <w:trPr>
          <w:trHeight w:val="300"/>
        </w:trPr>
        <w:tc>
          <w:tcPr>
            <w:tcW w:w="1720"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212F42F9" w14:textId="77777777" w:rsidR="006B5C79" w:rsidRPr="00410EB6" w:rsidRDefault="006B5C79" w:rsidP="000029BC">
            <w:pPr>
              <w:spacing w:after="0" w:line="240" w:lineRule="auto"/>
              <w:rPr>
                <w:rFonts w:ascii="Calibri" w:eastAsia="Times New Roman" w:hAnsi="Calibri" w:cs="Calibri"/>
                <w:color w:val="000000"/>
                <w:sz w:val="20"/>
                <w:szCs w:val="20"/>
                <w:lang w:eastAsia="sk-SK"/>
              </w:rPr>
            </w:pPr>
            <w:r w:rsidRPr="00410EB6">
              <w:rPr>
                <w:rFonts w:ascii="Calibri" w:eastAsia="Times New Roman" w:hAnsi="Calibri" w:cs="Calibri"/>
                <w:color w:val="000000"/>
                <w:sz w:val="20"/>
                <w:szCs w:val="20"/>
                <w:lang w:eastAsia="sk-SK"/>
              </w:rPr>
              <w:t> </w:t>
            </w:r>
          </w:p>
        </w:tc>
        <w:tc>
          <w:tcPr>
            <w:tcW w:w="960" w:type="dxa"/>
            <w:tcBorders>
              <w:top w:val="single" w:sz="4" w:space="0" w:color="auto"/>
              <w:left w:val="nil"/>
              <w:bottom w:val="single" w:sz="4" w:space="0" w:color="auto"/>
              <w:right w:val="single" w:sz="4" w:space="0" w:color="auto"/>
            </w:tcBorders>
            <w:shd w:val="clear" w:color="000000" w:fill="D0CECE"/>
            <w:noWrap/>
            <w:vAlign w:val="bottom"/>
            <w:hideMark/>
          </w:tcPr>
          <w:p w14:paraId="2D290C2C" w14:textId="77777777" w:rsidR="006B5C79" w:rsidRPr="00410EB6" w:rsidRDefault="006B5C79" w:rsidP="000029BC">
            <w:pPr>
              <w:spacing w:after="0" w:line="240" w:lineRule="auto"/>
              <w:jc w:val="center"/>
              <w:rPr>
                <w:rFonts w:ascii="Calibri" w:eastAsia="Times New Roman" w:hAnsi="Calibri" w:cs="Calibri"/>
                <w:color w:val="000000"/>
                <w:sz w:val="20"/>
                <w:szCs w:val="20"/>
                <w:lang w:eastAsia="sk-SK"/>
              </w:rPr>
            </w:pPr>
            <w:r w:rsidRPr="00410EB6">
              <w:rPr>
                <w:rFonts w:ascii="Calibri" w:eastAsia="Times New Roman" w:hAnsi="Calibri" w:cs="Calibri"/>
                <w:color w:val="000000"/>
                <w:sz w:val="20"/>
                <w:szCs w:val="20"/>
                <w:lang w:eastAsia="sk-SK"/>
              </w:rPr>
              <w:t>1993</w:t>
            </w:r>
          </w:p>
        </w:tc>
        <w:tc>
          <w:tcPr>
            <w:tcW w:w="960" w:type="dxa"/>
            <w:tcBorders>
              <w:top w:val="single" w:sz="4" w:space="0" w:color="auto"/>
              <w:left w:val="nil"/>
              <w:bottom w:val="single" w:sz="4" w:space="0" w:color="auto"/>
              <w:right w:val="single" w:sz="4" w:space="0" w:color="auto"/>
            </w:tcBorders>
            <w:shd w:val="clear" w:color="000000" w:fill="D0CECE"/>
            <w:noWrap/>
            <w:vAlign w:val="bottom"/>
            <w:hideMark/>
          </w:tcPr>
          <w:p w14:paraId="1AC4B2ED" w14:textId="77777777" w:rsidR="006B5C79" w:rsidRPr="00410EB6" w:rsidRDefault="006B5C79" w:rsidP="000029BC">
            <w:pPr>
              <w:spacing w:after="0" w:line="240" w:lineRule="auto"/>
              <w:jc w:val="center"/>
              <w:rPr>
                <w:rFonts w:ascii="Calibri" w:eastAsia="Times New Roman" w:hAnsi="Calibri" w:cs="Calibri"/>
                <w:color w:val="000000"/>
                <w:sz w:val="20"/>
                <w:szCs w:val="20"/>
                <w:lang w:eastAsia="sk-SK"/>
              </w:rPr>
            </w:pPr>
            <w:r w:rsidRPr="00410EB6">
              <w:rPr>
                <w:rFonts w:ascii="Calibri" w:eastAsia="Times New Roman" w:hAnsi="Calibri" w:cs="Calibri"/>
                <w:color w:val="000000"/>
                <w:sz w:val="20"/>
                <w:szCs w:val="20"/>
                <w:lang w:eastAsia="sk-SK"/>
              </w:rPr>
              <w:t>2003</w:t>
            </w:r>
          </w:p>
        </w:tc>
        <w:tc>
          <w:tcPr>
            <w:tcW w:w="960" w:type="dxa"/>
            <w:tcBorders>
              <w:top w:val="single" w:sz="4" w:space="0" w:color="auto"/>
              <w:left w:val="nil"/>
              <w:bottom w:val="single" w:sz="4" w:space="0" w:color="auto"/>
              <w:right w:val="single" w:sz="4" w:space="0" w:color="auto"/>
            </w:tcBorders>
            <w:shd w:val="clear" w:color="000000" w:fill="D0CECE"/>
            <w:noWrap/>
            <w:vAlign w:val="bottom"/>
            <w:hideMark/>
          </w:tcPr>
          <w:p w14:paraId="0710F7C2" w14:textId="77777777" w:rsidR="006B5C79" w:rsidRPr="00410EB6" w:rsidRDefault="006B5C79" w:rsidP="000029BC">
            <w:pPr>
              <w:spacing w:after="0" w:line="240" w:lineRule="auto"/>
              <w:jc w:val="center"/>
              <w:rPr>
                <w:rFonts w:ascii="Calibri" w:eastAsia="Times New Roman" w:hAnsi="Calibri" w:cs="Calibri"/>
                <w:color w:val="000000"/>
                <w:sz w:val="20"/>
                <w:szCs w:val="20"/>
                <w:lang w:eastAsia="sk-SK"/>
              </w:rPr>
            </w:pPr>
            <w:r w:rsidRPr="00410EB6">
              <w:rPr>
                <w:rFonts w:ascii="Calibri" w:eastAsia="Times New Roman" w:hAnsi="Calibri" w:cs="Calibri"/>
                <w:color w:val="000000"/>
                <w:sz w:val="20"/>
                <w:szCs w:val="20"/>
                <w:lang w:eastAsia="sk-SK"/>
              </w:rPr>
              <w:t>2013</w:t>
            </w:r>
          </w:p>
        </w:tc>
        <w:tc>
          <w:tcPr>
            <w:tcW w:w="960" w:type="dxa"/>
            <w:tcBorders>
              <w:top w:val="single" w:sz="4" w:space="0" w:color="auto"/>
              <w:left w:val="nil"/>
              <w:bottom w:val="single" w:sz="4" w:space="0" w:color="auto"/>
              <w:right w:val="single" w:sz="4" w:space="0" w:color="auto"/>
            </w:tcBorders>
            <w:shd w:val="clear" w:color="000000" w:fill="D0CECE"/>
            <w:noWrap/>
            <w:vAlign w:val="bottom"/>
            <w:hideMark/>
          </w:tcPr>
          <w:p w14:paraId="30FD6FCC" w14:textId="77777777" w:rsidR="006B5C79" w:rsidRPr="00410EB6" w:rsidRDefault="006B5C79" w:rsidP="000029BC">
            <w:pPr>
              <w:spacing w:after="0" w:line="240" w:lineRule="auto"/>
              <w:jc w:val="center"/>
              <w:rPr>
                <w:rFonts w:ascii="Calibri" w:eastAsia="Times New Roman" w:hAnsi="Calibri" w:cs="Calibri"/>
                <w:color w:val="000000"/>
                <w:sz w:val="20"/>
                <w:szCs w:val="20"/>
                <w:lang w:eastAsia="sk-SK"/>
              </w:rPr>
            </w:pPr>
            <w:r w:rsidRPr="00410EB6">
              <w:rPr>
                <w:rFonts w:ascii="Calibri" w:eastAsia="Times New Roman" w:hAnsi="Calibri" w:cs="Calibri"/>
                <w:color w:val="000000"/>
                <w:sz w:val="20"/>
                <w:szCs w:val="20"/>
                <w:lang w:eastAsia="sk-SK"/>
              </w:rPr>
              <w:t>2016</w:t>
            </w:r>
          </w:p>
        </w:tc>
      </w:tr>
      <w:tr w:rsidR="006B5C79" w:rsidRPr="00410EB6" w14:paraId="02815E09" w14:textId="77777777" w:rsidTr="000029BC">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4A22377D" w14:textId="77777777" w:rsidR="006B5C79" w:rsidRPr="00410EB6" w:rsidRDefault="006B5C79" w:rsidP="000029BC">
            <w:pPr>
              <w:spacing w:after="0" w:line="240" w:lineRule="auto"/>
              <w:rPr>
                <w:rFonts w:ascii="Calibri" w:eastAsia="Times New Roman" w:hAnsi="Calibri" w:cs="Calibri"/>
                <w:color w:val="C65911"/>
                <w:sz w:val="20"/>
                <w:szCs w:val="20"/>
                <w:lang w:eastAsia="sk-SK"/>
              </w:rPr>
            </w:pPr>
            <w:r w:rsidRPr="00410EB6">
              <w:rPr>
                <w:rFonts w:ascii="Calibri" w:eastAsia="Times New Roman" w:hAnsi="Calibri" w:cs="Calibri"/>
                <w:color w:val="C65911"/>
                <w:sz w:val="20"/>
                <w:szCs w:val="20"/>
                <w:lang w:eastAsia="sk-SK"/>
              </w:rPr>
              <w:t>Severná časť</w:t>
            </w:r>
          </w:p>
        </w:tc>
        <w:tc>
          <w:tcPr>
            <w:tcW w:w="960" w:type="dxa"/>
            <w:tcBorders>
              <w:top w:val="nil"/>
              <w:left w:val="nil"/>
              <w:bottom w:val="single" w:sz="4" w:space="0" w:color="auto"/>
              <w:right w:val="single" w:sz="4" w:space="0" w:color="auto"/>
            </w:tcBorders>
            <w:shd w:val="clear" w:color="auto" w:fill="auto"/>
            <w:noWrap/>
            <w:vAlign w:val="bottom"/>
            <w:hideMark/>
          </w:tcPr>
          <w:p w14:paraId="1DB7A1EF" w14:textId="77777777" w:rsidR="006B5C79" w:rsidRPr="00410EB6" w:rsidRDefault="006B5C79" w:rsidP="000029BC">
            <w:pPr>
              <w:spacing w:after="0" w:line="240" w:lineRule="auto"/>
              <w:jc w:val="center"/>
              <w:rPr>
                <w:rFonts w:ascii="Calibri" w:eastAsia="Times New Roman" w:hAnsi="Calibri" w:cs="Calibri"/>
                <w:color w:val="000000"/>
                <w:sz w:val="20"/>
                <w:szCs w:val="20"/>
                <w:lang w:eastAsia="sk-SK"/>
              </w:rPr>
            </w:pPr>
            <w:r w:rsidRPr="00410EB6">
              <w:rPr>
                <w:rFonts w:ascii="Calibri" w:eastAsia="Times New Roman" w:hAnsi="Calibri" w:cs="Calibri"/>
                <w:color w:val="000000"/>
                <w:sz w:val="20"/>
                <w:szCs w:val="20"/>
                <w:lang w:eastAsia="sk-SK"/>
              </w:rPr>
              <w:t>381</w:t>
            </w:r>
          </w:p>
        </w:tc>
        <w:tc>
          <w:tcPr>
            <w:tcW w:w="960" w:type="dxa"/>
            <w:tcBorders>
              <w:top w:val="nil"/>
              <w:left w:val="nil"/>
              <w:bottom w:val="single" w:sz="4" w:space="0" w:color="auto"/>
              <w:right w:val="single" w:sz="4" w:space="0" w:color="auto"/>
            </w:tcBorders>
            <w:shd w:val="clear" w:color="auto" w:fill="auto"/>
            <w:noWrap/>
            <w:vAlign w:val="bottom"/>
            <w:hideMark/>
          </w:tcPr>
          <w:p w14:paraId="28CC1A67" w14:textId="77777777" w:rsidR="006B5C79" w:rsidRPr="00410EB6" w:rsidRDefault="006B5C79" w:rsidP="000029BC">
            <w:pPr>
              <w:spacing w:after="0" w:line="240" w:lineRule="auto"/>
              <w:jc w:val="center"/>
              <w:rPr>
                <w:rFonts w:ascii="Calibri" w:eastAsia="Times New Roman" w:hAnsi="Calibri" w:cs="Calibri"/>
                <w:color w:val="000000"/>
                <w:sz w:val="20"/>
                <w:szCs w:val="20"/>
                <w:lang w:eastAsia="sk-SK"/>
              </w:rPr>
            </w:pPr>
            <w:r w:rsidRPr="00410EB6">
              <w:rPr>
                <w:rFonts w:ascii="Calibri" w:eastAsia="Times New Roman" w:hAnsi="Calibri" w:cs="Calibri"/>
                <w:color w:val="000000"/>
                <w:sz w:val="20"/>
                <w:szCs w:val="20"/>
                <w:lang w:eastAsia="sk-SK"/>
              </w:rPr>
              <w:t>79</w:t>
            </w:r>
          </w:p>
        </w:tc>
        <w:tc>
          <w:tcPr>
            <w:tcW w:w="960" w:type="dxa"/>
            <w:tcBorders>
              <w:top w:val="nil"/>
              <w:left w:val="nil"/>
              <w:bottom w:val="single" w:sz="4" w:space="0" w:color="auto"/>
              <w:right w:val="single" w:sz="4" w:space="0" w:color="auto"/>
            </w:tcBorders>
            <w:shd w:val="clear" w:color="auto" w:fill="auto"/>
            <w:noWrap/>
            <w:vAlign w:val="bottom"/>
            <w:hideMark/>
          </w:tcPr>
          <w:p w14:paraId="391DAD52" w14:textId="77777777" w:rsidR="006B5C79" w:rsidRPr="00410EB6" w:rsidRDefault="006B5C79" w:rsidP="000029BC">
            <w:pPr>
              <w:spacing w:after="0" w:line="240" w:lineRule="auto"/>
              <w:jc w:val="center"/>
              <w:rPr>
                <w:rFonts w:ascii="Calibri" w:eastAsia="Times New Roman" w:hAnsi="Calibri" w:cs="Calibri"/>
                <w:color w:val="000000"/>
                <w:sz w:val="20"/>
                <w:szCs w:val="20"/>
                <w:lang w:eastAsia="sk-SK"/>
              </w:rPr>
            </w:pPr>
            <w:r w:rsidRPr="00410EB6">
              <w:rPr>
                <w:rFonts w:ascii="Calibri" w:eastAsia="Times New Roman" w:hAnsi="Calibri" w:cs="Calibri"/>
                <w:color w:val="000000"/>
                <w:sz w:val="20"/>
                <w:szCs w:val="20"/>
                <w:lang w:eastAsia="sk-SK"/>
              </w:rPr>
              <w:t>-189</w:t>
            </w:r>
          </w:p>
        </w:tc>
        <w:tc>
          <w:tcPr>
            <w:tcW w:w="960" w:type="dxa"/>
            <w:tcBorders>
              <w:top w:val="nil"/>
              <w:left w:val="nil"/>
              <w:bottom w:val="single" w:sz="4" w:space="0" w:color="auto"/>
              <w:right w:val="single" w:sz="4" w:space="0" w:color="auto"/>
            </w:tcBorders>
            <w:shd w:val="clear" w:color="auto" w:fill="70AD47" w:themeFill="accent6"/>
            <w:noWrap/>
            <w:vAlign w:val="bottom"/>
            <w:hideMark/>
          </w:tcPr>
          <w:p w14:paraId="428EFCB4" w14:textId="77777777" w:rsidR="006B5C79" w:rsidRPr="00410EB6" w:rsidRDefault="006B5C79" w:rsidP="000029BC">
            <w:pPr>
              <w:spacing w:after="0" w:line="240" w:lineRule="auto"/>
              <w:jc w:val="center"/>
              <w:rPr>
                <w:rFonts w:ascii="Calibri" w:eastAsia="Times New Roman" w:hAnsi="Calibri" w:cs="Calibri"/>
                <w:color w:val="000000"/>
                <w:sz w:val="20"/>
                <w:szCs w:val="20"/>
                <w:lang w:eastAsia="sk-SK"/>
              </w:rPr>
            </w:pPr>
            <w:r w:rsidRPr="00410EB6">
              <w:rPr>
                <w:rFonts w:ascii="Calibri" w:eastAsia="Times New Roman" w:hAnsi="Calibri" w:cs="Calibri"/>
                <w:color w:val="000000"/>
                <w:sz w:val="20"/>
                <w:szCs w:val="20"/>
                <w:lang w:eastAsia="sk-SK"/>
              </w:rPr>
              <w:t>73</w:t>
            </w:r>
          </w:p>
        </w:tc>
      </w:tr>
      <w:tr w:rsidR="006B5C79" w:rsidRPr="00410EB6" w14:paraId="48B487CA" w14:textId="77777777" w:rsidTr="000029BC">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38012E2D" w14:textId="77777777" w:rsidR="006B5C79" w:rsidRPr="00410EB6" w:rsidRDefault="006B5C79" w:rsidP="000029BC">
            <w:pPr>
              <w:spacing w:after="0" w:line="240" w:lineRule="auto"/>
              <w:rPr>
                <w:rFonts w:ascii="Calibri" w:eastAsia="Times New Roman" w:hAnsi="Calibri" w:cs="Calibri"/>
                <w:color w:val="305496"/>
                <w:sz w:val="20"/>
                <w:szCs w:val="20"/>
                <w:lang w:eastAsia="sk-SK"/>
              </w:rPr>
            </w:pPr>
            <w:r w:rsidRPr="00410EB6">
              <w:rPr>
                <w:rFonts w:ascii="Calibri" w:eastAsia="Times New Roman" w:hAnsi="Calibri" w:cs="Calibri"/>
                <w:color w:val="305496"/>
                <w:sz w:val="20"/>
                <w:szCs w:val="20"/>
                <w:lang w:eastAsia="sk-SK"/>
              </w:rPr>
              <w:t>Južná časť</w:t>
            </w:r>
          </w:p>
        </w:tc>
        <w:tc>
          <w:tcPr>
            <w:tcW w:w="960" w:type="dxa"/>
            <w:tcBorders>
              <w:top w:val="nil"/>
              <w:left w:val="nil"/>
              <w:bottom w:val="single" w:sz="4" w:space="0" w:color="auto"/>
              <w:right w:val="single" w:sz="4" w:space="0" w:color="auto"/>
            </w:tcBorders>
            <w:shd w:val="clear" w:color="auto" w:fill="auto"/>
            <w:noWrap/>
            <w:vAlign w:val="bottom"/>
            <w:hideMark/>
          </w:tcPr>
          <w:p w14:paraId="205542F4" w14:textId="77777777" w:rsidR="006B5C79" w:rsidRPr="00410EB6" w:rsidRDefault="006B5C79" w:rsidP="000029BC">
            <w:pPr>
              <w:spacing w:after="0" w:line="240" w:lineRule="auto"/>
              <w:jc w:val="center"/>
              <w:rPr>
                <w:rFonts w:ascii="Calibri" w:eastAsia="Times New Roman" w:hAnsi="Calibri" w:cs="Calibri"/>
                <w:color w:val="000000"/>
                <w:sz w:val="20"/>
                <w:szCs w:val="20"/>
                <w:lang w:eastAsia="sk-SK"/>
              </w:rPr>
            </w:pPr>
            <w:r w:rsidRPr="00410EB6">
              <w:rPr>
                <w:rFonts w:ascii="Calibri" w:eastAsia="Times New Roman" w:hAnsi="Calibri" w:cs="Calibri"/>
                <w:color w:val="000000"/>
                <w:sz w:val="20"/>
                <w:szCs w:val="20"/>
                <w:lang w:eastAsia="sk-SK"/>
              </w:rPr>
              <w:t>-22</w:t>
            </w:r>
          </w:p>
        </w:tc>
        <w:tc>
          <w:tcPr>
            <w:tcW w:w="960" w:type="dxa"/>
            <w:tcBorders>
              <w:top w:val="nil"/>
              <w:left w:val="nil"/>
              <w:bottom w:val="single" w:sz="4" w:space="0" w:color="auto"/>
              <w:right w:val="single" w:sz="4" w:space="0" w:color="auto"/>
            </w:tcBorders>
            <w:shd w:val="clear" w:color="auto" w:fill="auto"/>
            <w:noWrap/>
            <w:vAlign w:val="bottom"/>
            <w:hideMark/>
          </w:tcPr>
          <w:p w14:paraId="01F64384" w14:textId="77777777" w:rsidR="006B5C79" w:rsidRPr="00410EB6" w:rsidRDefault="006B5C79" w:rsidP="000029BC">
            <w:pPr>
              <w:spacing w:after="0" w:line="240" w:lineRule="auto"/>
              <w:jc w:val="center"/>
              <w:rPr>
                <w:rFonts w:ascii="Calibri" w:eastAsia="Times New Roman" w:hAnsi="Calibri" w:cs="Calibri"/>
                <w:color w:val="000000"/>
                <w:sz w:val="20"/>
                <w:szCs w:val="20"/>
                <w:lang w:eastAsia="sk-SK"/>
              </w:rPr>
            </w:pPr>
            <w:r w:rsidRPr="00410EB6">
              <w:rPr>
                <w:rFonts w:ascii="Calibri" w:eastAsia="Times New Roman" w:hAnsi="Calibri" w:cs="Calibri"/>
                <w:color w:val="000000"/>
                <w:sz w:val="20"/>
                <w:szCs w:val="20"/>
                <w:lang w:eastAsia="sk-SK"/>
              </w:rPr>
              <w:t>2</w:t>
            </w:r>
          </w:p>
        </w:tc>
        <w:tc>
          <w:tcPr>
            <w:tcW w:w="960" w:type="dxa"/>
            <w:tcBorders>
              <w:top w:val="nil"/>
              <w:left w:val="nil"/>
              <w:bottom w:val="single" w:sz="4" w:space="0" w:color="auto"/>
              <w:right w:val="single" w:sz="4" w:space="0" w:color="auto"/>
            </w:tcBorders>
            <w:shd w:val="clear" w:color="auto" w:fill="auto"/>
            <w:noWrap/>
            <w:vAlign w:val="bottom"/>
            <w:hideMark/>
          </w:tcPr>
          <w:p w14:paraId="5F88CD42" w14:textId="77777777" w:rsidR="006B5C79" w:rsidRPr="00410EB6" w:rsidRDefault="006B5C79" w:rsidP="000029BC">
            <w:pPr>
              <w:spacing w:after="0" w:line="240" w:lineRule="auto"/>
              <w:jc w:val="center"/>
              <w:rPr>
                <w:rFonts w:ascii="Calibri" w:eastAsia="Times New Roman" w:hAnsi="Calibri" w:cs="Calibri"/>
                <w:color w:val="000000"/>
                <w:sz w:val="20"/>
                <w:szCs w:val="20"/>
                <w:lang w:eastAsia="sk-SK"/>
              </w:rPr>
            </w:pPr>
            <w:r w:rsidRPr="00410EB6">
              <w:rPr>
                <w:rFonts w:ascii="Calibri" w:eastAsia="Times New Roman" w:hAnsi="Calibri" w:cs="Calibri"/>
                <w:color w:val="000000"/>
                <w:sz w:val="20"/>
                <w:szCs w:val="20"/>
                <w:lang w:eastAsia="sk-SK"/>
              </w:rPr>
              <w:t>-78</w:t>
            </w:r>
          </w:p>
        </w:tc>
        <w:tc>
          <w:tcPr>
            <w:tcW w:w="960" w:type="dxa"/>
            <w:tcBorders>
              <w:top w:val="nil"/>
              <w:left w:val="nil"/>
              <w:bottom w:val="single" w:sz="4" w:space="0" w:color="auto"/>
              <w:right w:val="single" w:sz="4" w:space="0" w:color="auto"/>
            </w:tcBorders>
            <w:shd w:val="clear" w:color="auto" w:fill="FF0000"/>
            <w:noWrap/>
            <w:vAlign w:val="bottom"/>
            <w:hideMark/>
          </w:tcPr>
          <w:p w14:paraId="1E374090" w14:textId="77777777" w:rsidR="006B5C79" w:rsidRPr="00410EB6" w:rsidRDefault="006B5C79" w:rsidP="000029BC">
            <w:pPr>
              <w:spacing w:after="0" w:line="240" w:lineRule="auto"/>
              <w:jc w:val="center"/>
              <w:rPr>
                <w:rFonts w:ascii="Calibri" w:eastAsia="Times New Roman" w:hAnsi="Calibri" w:cs="Calibri"/>
                <w:color w:val="000000"/>
                <w:sz w:val="20"/>
                <w:szCs w:val="20"/>
                <w:lang w:eastAsia="sk-SK"/>
              </w:rPr>
            </w:pPr>
            <w:r w:rsidRPr="00410EB6">
              <w:rPr>
                <w:rFonts w:ascii="Calibri" w:eastAsia="Times New Roman" w:hAnsi="Calibri" w:cs="Calibri"/>
                <w:color w:val="000000"/>
                <w:sz w:val="20"/>
                <w:szCs w:val="20"/>
                <w:highlight w:val="red"/>
                <w:lang w:eastAsia="sk-SK"/>
              </w:rPr>
              <w:t>-66</w:t>
            </w:r>
          </w:p>
        </w:tc>
      </w:tr>
      <w:tr w:rsidR="006B5C79" w:rsidRPr="00410EB6" w14:paraId="77BA6B1E" w14:textId="77777777" w:rsidTr="000029BC">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50CA220E" w14:textId="77777777" w:rsidR="006B5C79" w:rsidRPr="00410EB6" w:rsidRDefault="006B5C79" w:rsidP="000029BC">
            <w:pPr>
              <w:spacing w:after="0" w:line="240" w:lineRule="auto"/>
              <w:rPr>
                <w:rFonts w:ascii="Calibri" w:eastAsia="Times New Roman" w:hAnsi="Calibri" w:cs="Calibri"/>
                <w:color w:val="C65911"/>
                <w:sz w:val="20"/>
                <w:szCs w:val="20"/>
                <w:lang w:eastAsia="sk-SK"/>
              </w:rPr>
            </w:pPr>
            <w:r w:rsidRPr="00410EB6">
              <w:rPr>
                <w:rFonts w:ascii="Calibri" w:eastAsia="Times New Roman" w:hAnsi="Calibri" w:cs="Calibri"/>
                <w:color w:val="C65911"/>
                <w:sz w:val="20"/>
                <w:szCs w:val="20"/>
                <w:lang w:eastAsia="sk-SK"/>
              </w:rPr>
              <w:t>Spišská Nová Ves</w:t>
            </w:r>
          </w:p>
        </w:tc>
        <w:tc>
          <w:tcPr>
            <w:tcW w:w="960" w:type="dxa"/>
            <w:tcBorders>
              <w:top w:val="nil"/>
              <w:left w:val="nil"/>
              <w:bottom w:val="single" w:sz="4" w:space="0" w:color="auto"/>
              <w:right w:val="single" w:sz="4" w:space="0" w:color="auto"/>
            </w:tcBorders>
            <w:shd w:val="clear" w:color="auto" w:fill="auto"/>
            <w:noWrap/>
            <w:vAlign w:val="bottom"/>
            <w:hideMark/>
          </w:tcPr>
          <w:p w14:paraId="75894C79" w14:textId="77777777" w:rsidR="006B5C79" w:rsidRPr="00410EB6" w:rsidRDefault="006B5C79" w:rsidP="000029BC">
            <w:pPr>
              <w:spacing w:after="0" w:line="240" w:lineRule="auto"/>
              <w:jc w:val="center"/>
              <w:rPr>
                <w:rFonts w:ascii="Calibri" w:eastAsia="Times New Roman" w:hAnsi="Calibri" w:cs="Calibri"/>
                <w:color w:val="000000"/>
                <w:sz w:val="20"/>
                <w:szCs w:val="20"/>
                <w:lang w:eastAsia="sk-SK"/>
              </w:rPr>
            </w:pPr>
            <w:r w:rsidRPr="00410EB6">
              <w:rPr>
                <w:rFonts w:ascii="Calibri" w:eastAsia="Times New Roman" w:hAnsi="Calibri" w:cs="Calibri"/>
                <w:color w:val="000000"/>
                <w:sz w:val="20"/>
                <w:szCs w:val="20"/>
                <w:lang w:eastAsia="sk-SK"/>
              </w:rPr>
              <w:t>-364</w:t>
            </w:r>
          </w:p>
        </w:tc>
        <w:tc>
          <w:tcPr>
            <w:tcW w:w="960" w:type="dxa"/>
            <w:tcBorders>
              <w:top w:val="nil"/>
              <w:left w:val="nil"/>
              <w:bottom w:val="single" w:sz="4" w:space="0" w:color="auto"/>
              <w:right w:val="single" w:sz="4" w:space="0" w:color="auto"/>
            </w:tcBorders>
            <w:shd w:val="clear" w:color="auto" w:fill="auto"/>
            <w:noWrap/>
            <w:vAlign w:val="bottom"/>
            <w:hideMark/>
          </w:tcPr>
          <w:p w14:paraId="2F47B28C" w14:textId="77777777" w:rsidR="006B5C79" w:rsidRPr="00410EB6" w:rsidRDefault="006B5C79" w:rsidP="000029BC">
            <w:pPr>
              <w:spacing w:after="0" w:line="240" w:lineRule="auto"/>
              <w:jc w:val="center"/>
              <w:rPr>
                <w:rFonts w:ascii="Calibri" w:eastAsia="Times New Roman" w:hAnsi="Calibri" w:cs="Calibri"/>
                <w:color w:val="000000"/>
                <w:sz w:val="20"/>
                <w:szCs w:val="20"/>
                <w:lang w:eastAsia="sk-SK"/>
              </w:rPr>
            </w:pPr>
            <w:r w:rsidRPr="00410EB6">
              <w:rPr>
                <w:rFonts w:ascii="Calibri" w:eastAsia="Times New Roman" w:hAnsi="Calibri" w:cs="Calibri"/>
                <w:color w:val="000000"/>
                <w:sz w:val="20"/>
                <w:szCs w:val="20"/>
                <w:lang w:eastAsia="sk-SK"/>
              </w:rPr>
              <w:t>-274</w:t>
            </w:r>
          </w:p>
        </w:tc>
        <w:tc>
          <w:tcPr>
            <w:tcW w:w="960" w:type="dxa"/>
            <w:tcBorders>
              <w:top w:val="nil"/>
              <w:left w:val="nil"/>
              <w:bottom w:val="single" w:sz="4" w:space="0" w:color="auto"/>
              <w:right w:val="single" w:sz="4" w:space="0" w:color="auto"/>
            </w:tcBorders>
            <w:shd w:val="clear" w:color="auto" w:fill="auto"/>
            <w:noWrap/>
            <w:vAlign w:val="bottom"/>
            <w:hideMark/>
          </w:tcPr>
          <w:p w14:paraId="6C99709C" w14:textId="77777777" w:rsidR="006B5C79" w:rsidRPr="00410EB6" w:rsidRDefault="006B5C79" w:rsidP="000029BC">
            <w:pPr>
              <w:spacing w:after="0" w:line="240" w:lineRule="auto"/>
              <w:jc w:val="center"/>
              <w:rPr>
                <w:rFonts w:ascii="Calibri" w:eastAsia="Times New Roman" w:hAnsi="Calibri" w:cs="Calibri"/>
                <w:color w:val="000000"/>
                <w:sz w:val="20"/>
                <w:szCs w:val="20"/>
                <w:lang w:eastAsia="sk-SK"/>
              </w:rPr>
            </w:pPr>
            <w:r w:rsidRPr="00410EB6">
              <w:rPr>
                <w:rFonts w:ascii="Calibri" w:eastAsia="Times New Roman" w:hAnsi="Calibri" w:cs="Calibri"/>
                <w:color w:val="000000"/>
                <w:sz w:val="20"/>
                <w:szCs w:val="20"/>
                <w:lang w:eastAsia="sk-SK"/>
              </w:rPr>
              <w:t>-68</w:t>
            </w:r>
          </w:p>
        </w:tc>
        <w:tc>
          <w:tcPr>
            <w:tcW w:w="960" w:type="dxa"/>
            <w:tcBorders>
              <w:top w:val="nil"/>
              <w:left w:val="nil"/>
              <w:bottom w:val="single" w:sz="4" w:space="0" w:color="auto"/>
              <w:right w:val="single" w:sz="4" w:space="0" w:color="auto"/>
            </w:tcBorders>
            <w:shd w:val="clear" w:color="auto" w:fill="auto"/>
            <w:noWrap/>
            <w:vAlign w:val="bottom"/>
            <w:hideMark/>
          </w:tcPr>
          <w:p w14:paraId="55820303" w14:textId="77777777" w:rsidR="006B5C79" w:rsidRPr="00410EB6" w:rsidRDefault="006B5C79" w:rsidP="000029BC">
            <w:pPr>
              <w:keepNext/>
              <w:spacing w:after="0" w:line="240" w:lineRule="auto"/>
              <w:jc w:val="center"/>
              <w:rPr>
                <w:rFonts w:ascii="Calibri" w:eastAsia="Times New Roman" w:hAnsi="Calibri" w:cs="Calibri"/>
                <w:color w:val="000000"/>
                <w:sz w:val="20"/>
                <w:szCs w:val="20"/>
                <w:lang w:eastAsia="sk-SK"/>
              </w:rPr>
            </w:pPr>
            <w:r w:rsidRPr="00410EB6">
              <w:rPr>
                <w:rFonts w:ascii="Calibri" w:eastAsia="Times New Roman" w:hAnsi="Calibri" w:cs="Calibri"/>
                <w:color w:val="000000"/>
                <w:sz w:val="20"/>
                <w:szCs w:val="20"/>
                <w:lang w:eastAsia="sk-SK"/>
              </w:rPr>
              <w:t>-172</w:t>
            </w:r>
          </w:p>
        </w:tc>
      </w:tr>
    </w:tbl>
    <w:p w14:paraId="45AC66B8" w14:textId="274712AD" w:rsidR="006B5C79" w:rsidRDefault="006B5C79" w:rsidP="006B5C79">
      <w:pPr>
        <w:pStyle w:val="Popis"/>
        <w:jc w:val="both"/>
        <w:rPr>
          <w:rFonts w:cstheme="minorHAnsi"/>
          <w:shd w:val="clear" w:color="auto" w:fill="FFFFFF"/>
        </w:rPr>
      </w:pPr>
      <w:r w:rsidRPr="002C4D0D">
        <w:rPr>
          <w:b/>
          <w:i w:val="0"/>
          <w:color w:val="auto"/>
        </w:rPr>
        <w:t xml:space="preserve">Tabuľka </w:t>
      </w:r>
      <w:r w:rsidR="00FF36C8">
        <w:rPr>
          <w:b/>
          <w:i w:val="0"/>
          <w:color w:val="auto"/>
        </w:rPr>
        <w:fldChar w:fldCharType="begin"/>
      </w:r>
      <w:r w:rsidR="00FF36C8">
        <w:rPr>
          <w:b/>
          <w:i w:val="0"/>
          <w:color w:val="auto"/>
        </w:rPr>
        <w:instrText xml:space="preserve"> SEQ Tabuľka \* ARABIC </w:instrText>
      </w:r>
      <w:r w:rsidR="00FF36C8">
        <w:rPr>
          <w:b/>
          <w:i w:val="0"/>
          <w:color w:val="auto"/>
        </w:rPr>
        <w:fldChar w:fldCharType="separate"/>
      </w:r>
      <w:r w:rsidR="00FF36C8">
        <w:rPr>
          <w:b/>
          <w:i w:val="0"/>
          <w:noProof/>
          <w:color w:val="auto"/>
        </w:rPr>
        <w:t>9</w:t>
      </w:r>
      <w:r w:rsidR="00FF36C8">
        <w:rPr>
          <w:b/>
          <w:i w:val="0"/>
          <w:color w:val="auto"/>
        </w:rPr>
        <w:fldChar w:fldCharType="end"/>
      </w:r>
      <w:r w:rsidRPr="002C4D0D">
        <w:rPr>
          <w:b/>
          <w:i w:val="0"/>
          <w:color w:val="auto"/>
        </w:rPr>
        <w:t>. Hodnoty migračného salda pre jednotlivé oblasti NP Slovenský Raj. Zdroj: Vlastné spracovanie KRI podľa ŠÚ SR 2018</w:t>
      </w:r>
      <w:r>
        <w:t>.</w:t>
      </w:r>
    </w:p>
    <w:p w14:paraId="06459AEA" w14:textId="7C2CA919" w:rsidR="006B5C79" w:rsidRDefault="006B5C79" w:rsidP="001A1F5D">
      <w:pPr>
        <w:spacing w:line="276" w:lineRule="auto"/>
        <w:jc w:val="both"/>
        <w:rPr>
          <w:rFonts w:cstheme="minorHAnsi"/>
          <w:shd w:val="clear" w:color="auto" w:fill="FFFFFF"/>
        </w:rPr>
      </w:pPr>
      <w:r>
        <w:rPr>
          <w:rFonts w:cstheme="minorHAnsi"/>
          <w:shd w:val="clear" w:color="auto" w:fill="FFFFFF"/>
        </w:rPr>
        <w:t>V </w:t>
      </w:r>
      <w:r w:rsidRPr="005B66B3">
        <w:rPr>
          <w:rFonts w:cstheme="minorHAnsi"/>
          <w:b/>
          <w:shd w:val="clear" w:color="auto" w:fill="FFFFFF"/>
        </w:rPr>
        <w:t>severnej časti</w:t>
      </w:r>
      <w:r>
        <w:rPr>
          <w:rFonts w:cstheme="minorHAnsi"/>
          <w:shd w:val="clear" w:color="auto" w:fill="FFFFFF"/>
        </w:rPr>
        <w:t xml:space="preserve"> má migračné saldo v posledných rokoch (od roku 2013) </w:t>
      </w:r>
      <w:r w:rsidRPr="005B66B3">
        <w:rPr>
          <w:rFonts w:cstheme="minorHAnsi"/>
          <w:b/>
          <w:shd w:val="clear" w:color="auto" w:fill="FFFFFF"/>
        </w:rPr>
        <w:t>rastúci trend</w:t>
      </w:r>
      <w:r>
        <w:rPr>
          <w:rFonts w:cstheme="minorHAnsi"/>
          <w:shd w:val="clear" w:color="auto" w:fill="FFFFFF"/>
        </w:rPr>
        <w:t xml:space="preserve">. Vysoká hodnota v roku 1993 je ovplyvnená obcou Smižany (400 nových obyvateľov), kedy bolo dobudované sídlisko. Mesto Spišská Nová Ves bola posudzovaná samostatne (kvôli skresleniu) a má v každom posudzovanom roku zápornú hodnotu, teda odliv obyvateľov. Migračné saldo </w:t>
      </w:r>
      <w:r w:rsidRPr="005B66B3">
        <w:rPr>
          <w:rFonts w:cstheme="minorHAnsi"/>
          <w:b/>
          <w:shd w:val="clear" w:color="auto" w:fill="FFFFFF"/>
        </w:rPr>
        <w:t xml:space="preserve">v južnej časti </w:t>
      </w:r>
      <w:r>
        <w:rPr>
          <w:rFonts w:cstheme="minorHAnsi"/>
          <w:shd w:val="clear" w:color="auto" w:fill="FFFFFF"/>
        </w:rPr>
        <w:t xml:space="preserve">taktiež vykazuje </w:t>
      </w:r>
      <w:r w:rsidRPr="005B66B3">
        <w:rPr>
          <w:rFonts w:cstheme="minorHAnsi"/>
          <w:b/>
          <w:shd w:val="clear" w:color="auto" w:fill="FFFFFF"/>
        </w:rPr>
        <w:t>záporné hodnoty</w:t>
      </w:r>
      <w:r>
        <w:rPr>
          <w:rFonts w:cstheme="minorHAnsi"/>
          <w:shd w:val="clear" w:color="auto" w:fill="FFFFFF"/>
        </w:rPr>
        <w:t>, no trend má vyrovnaný priebeh.</w:t>
      </w:r>
    </w:p>
    <w:p w14:paraId="7CA1A793" w14:textId="6F6E01A8" w:rsidR="00A85DF9" w:rsidRDefault="00A85DF9" w:rsidP="00A85DF9">
      <w:pPr>
        <w:spacing w:line="276" w:lineRule="auto"/>
        <w:jc w:val="both"/>
        <w:rPr>
          <w:rFonts w:cstheme="minorHAnsi"/>
          <w:shd w:val="clear" w:color="auto" w:fill="FFFFFF"/>
        </w:rPr>
      </w:pPr>
      <w:r>
        <w:rPr>
          <w:rFonts w:cstheme="minorHAnsi"/>
          <w:shd w:val="clear" w:color="auto" w:fill="FFFFFF"/>
        </w:rPr>
        <w:t xml:space="preserve">Posudzované ekonomické a demografické ukazovatele územia NP Slovenský raj čiastočne vyjadrujú </w:t>
      </w:r>
      <w:r w:rsidR="00CD18A8" w:rsidRPr="008376AE">
        <w:rPr>
          <w:rFonts w:cstheme="minorHAnsi"/>
          <w:b/>
          <w:shd w:val="clear" w:color="auto" w:fill="FFFFFF"/>
        </w:rPr>
        <w:t xml:space="preserve">mieru </w:t>
      </w:r>
      <w:r w:rsidRPr="008376AE">
        <w:rPr>
          <w:rFonts w:cstheme="minorHAnsi"/>
          <w:b/>
          <w:shd w:val="clear" w:color="auto" w:fill="FFFFFF"/>
        </w:rPr>
        <w:t>jej ekonomick</w:t>
      </w:r>
      <w:r w:rsidR="00CD18A8" w:rsidRPr="008376AE">
        <w:rPr>
          <w:rFonts w:cstheme="minorHAnsi"/>
          <w:b/>
          <w:shd w:val="clear" w:color="auto" w:fill="FFFFFF"/>
        </w:rPr>
        <w:t>ej</w:t>
      </w:r>
      <w:r w:rsidRPr="008376AE">
        <w:rPr>
          <w:rFonts w:cstheme="minorHAnsi"/>
          <w:b/>
          <w:shd w:val="clear" w:color="auto" w:fill="FFFFFF"/>
        </w:rPr>
        <w:t xml:space="preserve"> a sociáln</w:t>
      </w:r>
      <w:r w:rsidR="00CD18A8" w:rsidRPr="008376AE">
        <w:rPr>
          <w:rFonts w:cstheme="minorHAnsi"/>
          <w:b/>
          <w:shd w:val="clear" w:color="auto" w:fill="FFFFFF"/>
        </w:rPr>
        <w:t>ej</w:t>
      </w:r>
      <w:r w:rsidRPr="008376AE">
        <w:rPr>
          <w:rFonts w:cstheme="minorHAnsi"/>
          <w:b/>
          <w:shd w:val="clear" w:color="auto" w:fill="FFFFFF"/>
        </w:rPr>
        <w:t xml:space="preserve"> zraniteľnos</w:t>
      </w:r>
      <w:r w:rsidR="00CD18A8" w:rsidRPr="008376AE">
        <w:rPr>
          <w:rFonts w:cstheme="minorHAnsi"/>
          <w:b/>
          <w:shd w:val="clear" w:color="auto" w:fill="FFFFFF"/>
        </w:rPr>
        <w:t>ti</w:t>
      </w:r>
      <w:r>
        <w:rPr>
          <w:rFonts w:cstheme="minorHAnsi"/>
          <w:shd w:val="clear" w:color="auto" w:fill="FFFFFF"/>
        </w:rPr>
        <w:t>.</w:t>
      </w:r>
      <w:r w:rsidR="00755CCE">
        <w:rPr>
          <w:rFonts w:cstheme="minorHAnsi"/>
          <w:shd w:val="clear" w:color="auto" w:fill="FFFFFF"/>
        </w:rPr>
        <w:t xml:space="preserve"> Z tohto pohľadu je</w:t>
      </w:r>
      <w:r>
        <w:rPr>
          <w:rFonts w:cstheme="minorHAnsi"/>
          <w:shd w:val="clear" w:color="auto" w:fill="FFFFFF"/>
        </w:rPr>
        <w:t xml:space="preserve"> </w:t>
      </w:r>
      <w:r w:rsidR="00755CCE" w:rsidRPr="008376AE">
        <w:rPr>
          <w:rFonts w:cstheme="minorHAnsi"/>
          <w:b/>
          <w:shd w:val="clear" w:color="auto" w:fill="FFFFFF"/>
        </w:rPr>
        <w:t xml:space="preserve">južná časť NP Slovenský raj viac </w:t>
      </w:r>
      <w:r w:rsidR="00755CCE" w:rsidRPr="008376AE">
        <w:rPr>
          <w:rFonts w:cstheme="minorHAnsi"/>
          <w:b/>
          <w:shd w:val="clear" w:color="auto" w:fill="FFFFFF"/>
        </w:rPr>
        <w:lastRenderedPageBreak/>
        <w:t>zraniteľná</w:t>
      </w:r>
      <w:r w:rsidR="00755CCE">
        <w:rPr>
          <w:rFonts w:cstheme="minorHAnsi"/>
          <w:shd w:val="clear" w:color="auto" w:fill="FFFFFF"/>
        </w:rPr>
        <w:t xml:space="preserve"> ako časť severná. Nasvedčuje tomu napríklad negatívny </w:t>
      </w:r>
      <w:r w:rsidR="00755CCE">
        <w:rPr>
          <w:szCs w:val="18"/>
        </w:rPr>
        <w:t>vývoj počtu obyvateľov (úbytok obyvateľstva</w:t>
      </w:r>
      <w:r w:rsidR="00CD18A8">
        <w:rPr>
          <w:szCs w:val="18"/>
        </w:rPr>
        <w:t>, záporné migračné saldo</w:t>
      </w:r>
      <w:r w:rsidR="00755CCE">
        <w:rPr>
          <w:szCs w:val="18"/>
        </w:rPr>
        <w:t xml:space="preserve">), starnutie obyvateľstva (vysoký index starnutia, vyšší priemerný vek obyvateľstva), nízka úroveň vzdelania (vysoký podiel obyvateľstva so základným </w:t>
      </w:r>
      <w:r w:rsidR="00CD18A8">
        <w:rPr>
          <w:szCs w:val="18"/>
        </w:rPr>
        <w:t>vzdelaním a s neukončeným vzdelaním)</w:t>
      </w:r>
      <w:r w:rsidR="008376AE">
        <w:rPr>
          <w:szCs w:val="18"/>
        </w:rPr>
        <w:t xml:space="preserve"> a vysoká nezamestnanosť.</w:t>
      </w:r>
      <w:r w:rsidR="00FF62A8">
        <w:rPr>
          <w:szCs w:val="18"/>
        </w:rPr>
        <w:t xml:space="preserve"> </w:t>
      </w:r>
    </w:p>
    <w:p w14:paraId="195534BE" w14:textId="09BE9850" w:rsidR="00A6122B" w:rsidRDefault="00A6122B" w:rsidP="0038174C">
      <w:pPr>
        <w:spacing w:line="276" w:lineRule="auto"/>
        <w:rPr>
          <w:i/>
          <w:color w:val="ED7D31" w:themeColor="accent2"/>
        </w:rPr>
      </w:pPr>
    </w:p>
    <w:p w14:paraId="66AB8F6C" w14:textId="2F0F593F" w:rsidR="00312806" w:rsidRPr="00312806" w:rsidRDefault="00B54E32" w:rsidP="00E30BB1">
      <w:pPr>
        <w:pStyle w:val="Nadpis2"/>
        <w:numPr>
          <w:ilvl w:val="1"/>
          <w:numId w:val="1"/>
        </w:numPr>
      </w:pPr>
      <w:r>
        <w:t xml:space="preserve"> </w:t>
      </w:r>
      <w:bookmarkStart w:id="11" w:name="_Toc509383576"/>
      <w:r>
        <w:t>Identifikované p</w:t>
      </w:r>
      <w:r w:rsidRPr="00B54E32">
        <w:t>rodukt</w:t>
      </w:r>
      <w:r>
        <w:t>y</w:t>
      </w:r>
      <w:r w:rsidRPr="00B54E32">
        <w:t xml:space="preserve"> cestovného ruchu </w:t>
      </w:r>
      <w:r>
        <w:t>v NP Slovenský raj</w:t>
      </w:r>
      <w:bookmarkEnd w:id="11"/>
      <w:r>
        <w:t xml:space="preserve"> </w:t>
      </w:r>
    </w:p>
    <w:p w14:paraId="0EB1D7B1" w14:textId="77777777" w:rsidR="00B54E32" w:rsidRPr="00B54E32" w:rsidRDefault="00B54E32" w:rsidP="00B54E32">
      <w:pPr>
        <w:autoSpaceDE w:val="0"/>
        <w:autoSpaceDN w:val="0"/>
        <w:adjustRightInd w:val="0"/>
        <w:spacing w:after="0" w:line="240" w:lineRule="auto"/>
        <w:rPr>
          <w:rFonts w:ascii="Times New Roman" w:hAnsi="Times New Roman" w:cs="Times New Roman"/>
          <w:color w:val="000000"/>
          <w:sz w:val="23"/>
          <w:szCs w:val="23"/>
        </w:rPr>
      </w:pPr>
    </w:p>
    <w:p w14:paraId="6FE5FA12" w14:textId="406DB942" w:rsidR="00B54E32" w:rsidRPr="00AA2A37" w:rsidRDefault="00A71CF2" w:rsidP="00AA2A37">
      <w:pPr>
        <w:spacing w:line="276" w:lineRule="auto"/>
        <w:jc w:val="both"/>
        <w:rPr>
          <w:rFonts w:cstheme="minorHAnsi"/>
          <w:i/>
          <w:color w:val="ED7D31" w:themeColor="accent2"/>
        </w:rPr>
      </w:pPr>
      <w:r>
        <w:rPr>
          <w:rFonts w:cstheme="minorHAnsi"/>
          <w:color w:val="000000"/>
        </w:rPr>
        <w:t>Produkt CR j</w:t>
      </w:r>
      <w:r w:rsidR="00B54E32" w:rsidRPr="00AA2A37">
        <w:rPr>
          <w:rFonts w:cstheme="minorHAnsi"/>
          <w:color w:val="000000"/>
        </w:rPr>
        <w:t>e všetko</w:t>
      </w:r>
      <w:r>
        <w:rPr>
          <w:rFonts w:cstheme="minorHAnsi"/>
          <w:color w:val="000000"/>
        </w:rPr>
        <w:t>,</w:t>
      </w:r>
      <w:r w:rsidR="00B54E32" w:rsidRPr="00AA2A37">
        <w:rPr>
          <w:rFonts w:cstheme="minorHAnsi"/>
          <w:color w:val="000000"/>
        </w:rPr>
        <w:t xml:space="preserve"> čo sa ponúka na trhu cestovného ruchu a má schopnosť uspokojiť potreby návštevníkov a vytvoriť tak komplexný súbor zážitkov. Je to súbor služieb, ktoré produkuje a ponúka cieľové miesto (primárna ponuka) a podniky a inštitúcie cestovného ruchu (sekundárna ponuka)</w:t>
      </w:r>
      <w:r w:rsidR="00AA2A37">
        <w:rPr>
          <w:rFonts w:cstheme="minorHAnsi"/>
          <w:color w:val="000000"/>
        </w:rPr>
        <w:t>.</w:t>
      </w:r>
    </w:p>
    <w:p w14:paraId="3B2ED7A6" w14:textId="205C8B35" w:rsidR="001E489F" w:rsidRPr="005233CF" w:rsidRDefault="00837876" w:rsidP="0038174C">
      <w:pPr>
        <w:spacing w:line="276" w:lineRule="auto"/>
        <w:rPr>
          <w:i/>
          <w:color w:val="ED7D31" w:themeColor="accent2"/>
        </w:rPr>
      </w:pPr>
      <w:r w:rsidRPr="005233CF">
        <w:rPr>
          <w:i/>
          <w:color w:val="ED7D31" w:themeColor="accent2"/>
        </w:rPr>
        <w:t>Letná sezóna (máj – október)</w:t>
      </w:r>
    </w:p>
    <w:p w14:paraId="0AB049B6" w14:textId="6EE4AD99" w:rsidR="00521816" w:rsidRDefault="00837876" w:rsidP="0038174C">
      <w:pPr>
        <w:spacing w:line="276" w:lineRule="auto"/>
        <w:jc w:val="both"/>
      </w:pPr>
      <w:r>
        <w:t xml:space="preserve">K hlavným </w:t>
      </w:r>
      <w:r w:rsidR="00BF09B5">
        <w:t>produktom CR</w:t>
      </w:r>
      <w:r w:rsidR="00E7041A">
        <w:t xml:space="preserve"> na území NP SR patrí</w:t>
      </w:r>
      <w:r>
        <w:t xml:space="preserve"> </w:t>
      </w:r>
      <w:r w:rsidR="00B81706" w:rsidRPr="00FD4DFA">
        <w:rPr>
          <w:b/>
        </w:rPr>
        <w:t>pešia turistika</w:t>
      </w:r>
      <w:r w:rsidR="00FD4DFA">
        <w:t xml:space="preserve">. V riešenom území sa nachádza spolu </w:t>
      </w:r>
      <w:r w:rsidR="0071673A">
        <w:t>okolo</w:t>
      </w:r>
      <w:r w:rsidR="00FD4DFA">
        <w:t xml:space="preserve"> </w:t>
      </w:r>
      <w:r w:rsidR="0071673A">
        <w:t>277</w:t>
      </w:r>
      <w:r w:rsidR="00FD4DFA">
        <w:t xml:space="preserve"> km turistických chodníkov</w:t>
      </w:r>
      <w:r w:rsidR="0071673A">
        <w:t xml:space="preserve"> (</w:t>
      </w:r>
      <w:r w:rsidR="00572C60">
        <w:t>233km v NP a 44km v ochrannom pásme)</w:t>
      </w:r>
      <w:r w:rsidR="00FD4DFA">
        <w:t xml:space="preserve">. </w:t>
      </w:r>
      <w:r w:rsidR="00E7041A" w:rsidRPr="004A1DD7">
        <w:t>Medzi najnavštevovanejšie časti patria atraktívne rokliny a kaňony (</w:t>
      </w:r>
      <w:r w:rsidR="00E7041A">
        <w:t xml:space="preserve">najviac navštevovaná </w:t>
      </w:r>
      <w:r w:rsidR="00E7041A" w:rsidRPr="00E7041A">
        <w:t>Suchá Belá, Prielom Hornádu a Zejmarská roklina).</w:t>
      </w:r>
      <w:r w:rsidR="00E7041A" w:rsidRPr="004A1DD7">
        <w:t xml:space="preserve"> Prakticky všetky atraktívne rokliny v Slovenskom raji</w:t>
      </w:r>
      <w:r w:rsidR="00FD4DFA">
        <w:t xml:space="preserve"> (</w:t>
      </w:r>
      <w:r w:rsidR="00E7041A" w:rsidRPr="004A1DD7">
        <w:t>chránené ako národné prírodné rezervácie</w:t>
      </w:r>
      <w:r w:rsidR="00FD4DFA">
        <w:t xml:space="preserve">) </w:t>
      </w:r>
      <w:r w:rsidR="00E7041A" w:rsidRPr="004A1DD7">
        <w:t>sú sprístupnené</w:t>
      </w:r>
      <w:r w:rsidR="00FC01E5">
        <w:t xml:space="preserve"> sieťou značených turistických chodníkov (ZTCH)</w:t>
      </w:r>
      <w:r w:rsidR="00E7041A" w:rsidRPr="004A1DD7">
        <w:t>: Suchá Belá, Piecky, Veľký Sokol, Veľký a Malý Kyseľ, Sokolia dolina, Zejmarská roklina, Kláštorská roklina. Rovnako sprístupnené sú obidva kaňony: Prielom Hornádu a Stratenský kaňon</w:t>
      </w:r>
      <w:r>
        <w:t xml:space="preserve">. </w:t>
      </w:r>
      <w:r w:rsidR="00BF09B5">
        <w:t xml:space="preserve">Kaňon Hornádu je obojsmerne sprístupnený od r. 1974 sústavou lávok, stúpačiek, rebríkov a reťazí a  patrí medzi najnavštevovanejšie časti NP. </w:t>
      </w:r>
      <w:r>
        <w:t>Značenie Z</w:t>
      </w:r>
      <w:r w:rsidR="00FC01E5">
        <w:t>T</w:t>
      </w:r>
      <w:r>
        <w:t>CH v národnom parku zabezpečuje Horská záchranná služba (HZS) oblasti Slovenský raj. Cyklus obnovy značenia je spravidla tri roky. Kvalita značenia Z</w:t>
      </w:r>
      <w:r w:rsidR="00FC01E5">
        <w:t>T</w:t>
      </w:r>
      <w:r>
        <w:t>CH je na území NP SR veľmi dobrá, čo zabezpečuje bezpečnosť pohybu turistov v</w:t>
      </w:r>
      <w:r w:rsidR="00FC01E5">
        <w:t> </w:t>
      </w:r>
      <w:r>
        <w:t>teréne</w:t>
      </w:r>
      <w:r w:rsidR="00FC01E5">
        <w:t>.</w:t>
      </w:r>
      <w:r w:rsidR="00E62675">
        <w:t xml:space="preserve"> Ďalšou ponukou v rámci pešej turistiky </w:t>
      </w:r>
      <w:r w:rsidR="006E2FB2">
        <w:t xml:space="preserve">je návšteva </w:t>
      </w:r>
      <w:r w:rsidR="006E2FB2" w:rsidRPr="00812ADD">
        <w:rPr>
          <w:b/>
        </w:rPr>
        <w:t>náučných chodníkov</w:t>
      </w:r>
      <w:r w:rsidR="006E2FB2">
        <w:t xml:space="preserve"> -  Mokrade Hnilca (NPR Hnilecká jelšina), Stratenský kaňon (NPR Stratená) a Občasný prameň Pod Havraňou skalou (PP) a štyri novo vybudované okruhy </w:t>
      </w:r>
      <w:r w:rsidR="006E2FB2" w:rsidRPr="00812ADD">
        <w:rPr>
          <w:b/>
        </w:rPr>
        <w:t>nordic walking</w:t>
      </w:r>
      <w:r w:rsidR="006E2FB2">
        <w:t>.</w:t>
      </w:r>
      <w:r w:rsidR="00F70B9A">
        <w:t xml:space="preserve"> </w:t>
      </w:r>
      <w:r w:rsidR="00521816">
        <w:t xml:space="preserve">V území je možný aj </w:t>
      </w:r>
      <w:r w:rsidR="00521816" w:rsidRPr="00180D0B">
        <w:rPr>
          <w:b/>
        </w:rPr>
        <w:t>pobyt v prírode</w:t>
      </w:r>
      <w:r w:rsidR="00521816">
        <w:t xml:space="preserve">, prostredníctvom </w:t>
      </w:r>
      <w:r w:rsidR="00521816" w:rsidRPr="00180D0B">
        <w:rPr>
          <w:b/>
        </w:rPr>
        <w:t>stanovania a táborenia</w:t>
      </w:r>
      <w:r w:rsidR="00521816">
        <w:t xml:space="preserve"> v areáloch kempingov Podlesok, Čingov a Dedinky. Taktiež v zastavanom území obcí.</w:t>
      </w:r>
    </w:p>
    <w:p w14:paraId="7730F94C" w14:textId="2C338E84" w:rsidR="00B81706" w:rsidRDefault="00FD4DFA" w:rsidP="00812ADD">
      <w:pPr>
        <w:spacing w:before="60" w:line="276" w:lineRule="auto"/>
        <w:jc w:val="both"/>
      </w:pPr>
      <w:r w:rsidRPr="004A1DD7">
        <w:t xml:space="preserve">Na území NP je pre </w:t>
      </w:r>
      <w:r w:rsidR="006E2F26">
        <w:t xml:space="preserve">obľúbenú </w:t>
      </w:r>
      <w:r w:rsidRPr="00FD4DFA">
        <w:rPr>
          <w:b/>
        </w:rPr>
        <w:t>cykloturistiku</w:t>
      </w:r>
      <w:r w:rsidRPr="004A1DD7">
        <w:t xml:space="preserve"> vyznačených </w:t>
      </w:r>
      <w:smartTag w:uri="urn:schemas-microsoft-com:office:smarttags" w:element="metricconverter">
        <w:smartTagPr>
          <w:attr w:name="ProductID" w:val="45 km"/>
        </w:smartTagPr>
        <w:r w:rsidRPr="004A1DD7">
          <w:t>45 km</w:t>
        </w:r>
      </w:smartTag>
      <w:r w:rsidRPr="004A1DD7">
        <w:t xml:space="preserve"> cyklotrás, v ochrannom pásme </w:t>
      </w:r>
      <w:smartTag w:uri="urn:schemas-microsoft-com:office:smarttags" w:element="metricconverter">
        <w:smartTagPr>
          <w:attr w:name="ProductID" w:val="65 km"/>
        </w:smartTagPr>
        <w:r w:rsidRPr="004A1DD7">
          <w:t>65 km</w:t>
        </w:r>
      </w:smartTag>
      <w:r w:rsidRPr="004A1DD7">
        <w:t>. Na prevažnej väčšine územia NP nie je pohyb cykloturistov možný z dôvodu členitého reliéfu</w:t>
      </w:r>
      <w:r>
        <w:t xml:space="preserve"> a z dôvodu obmedzenia vychádzajúceho zo zákona </w:t>
      </w:r>
      <w:r w:rsidRPr="004A1DD7">
        <w:t>č. 543/2002 Z. z. o ochrane prírody a</w:t>
      </w:r>
      <w:r>
        <w:t> </w:t>
      </w:r>
      <w:r w:rsidRPr="004A1DD7">
        <w:t>krajiny</w:t>
      </w:r>
      <w:r>
        <w:t>, kedy</w:t>
      </w:r>
      <w:r w:rsidRPr="004A1DD7">
        <w:t xml:space="preserve"> je v národnom parku zakázané vchádzať a stáť s bicyklom na pozemky za hranicami zastavaného územia obce mimo cesty, miestnej komunikácie a vyznačenej cyklotrasy. V ochrannom pásme je to rovnaké, ale cykloturistiku možno vykonávať ešte aj na účelovej komunikácii.</w:t>
      </w:r>
      <w:r w:rsidR="008F05FE">
        <w:t xml:space="preserve"> </w:t>
      </w:r>
    </w:p>
    <w:p w14:paraId="39F5B382" w14:textId="30BDA20D" w:rsidR="00812ADD" w:rsidRPr="009B78D9" w:rsidRDefault="00812ADD" w:rsidP="009B78D9">
      <w:pPr>
        <w:spacing w:after="0" w:line="276" w:lineRule="auto"/>
        <w:jc w:val="both"/>
        <w:rPr>
          <w:rFonts w:eastAsia="Times New Roman" w:cstheme="minorHAnsi"/>
          <w:lang w:eastAsia="sk-SK"/>
        </w:rPr>
      </w:pPr>
      <w:r w:rsidRPr="009B78D9">
        <w:rPr>
          <w:rFonts w:cstheme="minorHAnsi"/>
          <w:b/>
        </w:rPr>
        <w:t>Splavovanie Prielomu Hornádu</w:t>
      </w:r>
      <w:r w:rsidRPr="009B78D9">
        <w:rPr>
          <w:rFonts w:cstheme="minorHAnsi"/>
        </w:rPr>
        <w:t xml:space="preserve"> (na člnoch) patr</w:t>
      </w:r>
      <w:r w:rsidR="00142DCE" w:rsidRPr="009B78D9">
        <w:rPr>
          <w:rFonts w:cstheme="minorHAnsi"/>
        </w:rPr>
        <w:t>í</w:t>
      </w:r>
      <w:r w:rsidRPr="009B78D9">
        <w:rPr>
          <w:rFonts w:cstheme="minorHAnsi"/>
        </w:rPr>
        <w:t xml:space="preserve"> k historicky  najatraktívnejším športovo-rekreačným aktivitám v Slovenskom raji, pričom v sedemdesiatych a osemdesiatych rokoch 20. storočia malo masový charakter. V súčasnosti </w:t>
      </w:r>
      <w:r w:rsidR="00246A60" w:rsidRPr="009B78D9">
        <w:rPr>
          <w:rFonts w:cstheme="minorHAnsi"/>
        </w:rPr>
        <w:t xml:space="preserve">je </w:t>
      </w:r>
      <w:r w:rsidRPr="009B78D9">
        <w:rPr>
          <w:rFonts w:cstheme="minorHAnsi"/>
        </w:rPr>
        <w:t>táto aktivita dovolená</w:t>
      </w:r>
      <w:r w:rsidR="00246A60" w:rsidRPr="009B78D9">
        <w:rPr>
          <w:rFonts w:cstheme="minorHAnsi"/>
        </w:rPr>
        <w:t xml:space="preserve"> len </w:t>
      </w:r>
      <w:r w:rsidR="003D6DB3" w:rsidRPr="009B78D9">
        <w:rPr>
          <w:rFonts w:cstheme="minorHAnsi"/>
        </w:rPr>
        <w:t>na trase Hrabušické Mýto – Hrdlo Hornádu – Letanovský Mlyn – Čingov</w:t>
      </w:r>
      <w:r w:rsidR="00EC66DF" w:rsidRPr="009B78D9">
        <w:rPr>
          <w:rFonts w:cstheme="minorHAnsi"/>
        </w:rPr>
        <w:t xml:space="preserve"> (11,75km)</w:t>
      </w:r>
      <w:r w:rsidR="003D6DB3" w:rsidRPr="009B78D9">
        <w:rPr>
          <w:rFonts w:cstheme="minorHAnsi"/>
        </w:rPr>
        <w:t>, v termíne od 1. mája  do 31. októbra</w:t>
      </w:r>
      <w:r w:rsidR="00EC66DF" w:rsidRPr="009B78D9">
        <w:rPr>
          <w:rFonts w:cstheme="minorHAnsi"/>
        </w:rPr>
        <w:t>.</w:t>
      </w:r>
      <w:r w:rsidR="009B78D9">
        <w:rPr>
          <w:rFonts w:eastAsia="Times New Roman" w:cstheme="minorHAnsi"/>
          <w:lang w:eastAsia="sk-SK"/>
        </w:rPr>
        <w:t xml:space="preserve"> </w:t>
      </w:r>
      <w:r w:rsidR="00EC66DF" w:rsidRPr="009B78D9">
        <w:rPr>
          <w:rFonts w:cstheme="minorHAnsi"/>
        </w:rPr>
        <w:t xml:space="preserve"> </w:t>
      </w:r>
      <w:r w:rsidR="003D6DB3" w:rsidRPr="009B78D9">
        <w:rPr>
          <w:rFonts w:cstheme="minorHAnsi"/>
        </w:rPr>
        <w:t xml:space="preserve">Podmienkou splavovania je stav hladiny minimálne 70cm a maximálne 110cm. </w:t>
      </w:r>
      <w:r w:rsidR="009B78D9">
        <w:rPr>
          <w:rFonts w:cstheme="minorHAnsi"/>
        </w:rPr>
        <w:t xml:space="preserve">Podľa správy NP Slovenský raj je </w:t>
      </w:r>
      <w:r w:rsidR="009B78D9">
        <w:rPr>
          <w:rFonts w:eastAsia="Times New Roman" w:cstheme="minorHAnsi"/>
          <w:lang w:eastAsia="sk-SK"/>
        </w:rPr>
        <w:t>z</w:t>
      </w:r>
      <w:r w:rsidR="009B78D9" w:rsidRPr="009B78D9">
        <w:rPr>
          <w:rFonts w:eastAsia="Times New Roman" w:cstheme="minorHAnsi"/>
          <w:lang w:eastAsia="sk-SK"/>
        </w:rPr>
        <w:t> dlhodobého hľadiska</w:t>
      </w:r>
      <w:r w:rsidR="009B78D9">
        <w:rPr>
          <w:rFonts w:eastAsia="Times New Roman" w:cstheme="minorHAnsi"/>
          <w:lang w:eastAsia="sk-SK"/>
        </w:rPr>
        <w:t>,</w:t>
      </w:r>
      <w:r w:rsidR="009B78D9">
        <w:rPr>
          <w:rFonts w:cstheme="minorHAnsi"/>
        </w:rPr>
        <w:t xml:space="preserve"> vzhľadom na túto podmienku, </w:t>
      </w:r>
      <w:r w:rsidR="009B78D9" w:rsidRPr="00D0488D">
        <w:rPr>
          <w:rFonts w:eastAsia="Times New Roman" w:cstheme="minorHAnsi"/>
          <w:lang w:eastAsia="sk-SK"/>
        </w:rPr>
        <w:t>splavn</w:t>
      </w:r>
      <w:r w:rsidR="00164BDB">
        <w:rPr>
          <w:rFonts w:eastAsia="Times New Roman" w:cstheme="minorHAnsi"/>
          <w:lang w:eastAsia="sk-SK"/>
        </w:rPr>
        <w:t>osť rieky možná</w:t>
      </w:r>
      <w:r w:rsidR="009B78D9" w:rsidRPr="00D0488D">
        <w:rPr>
          <w:rFonts w:eastAsia="Times New Roman" w:cstheme="minorHAnsi"/>
          <w:lang w:eastAsia="sk-SK"/>
        </w:rPr>
        <w:t xml:space="preserve"> približne polovic</w:t>
      </w:r>
      <w:r w:rsidR="00164BDB">
        <w:rPr>
          <w:rFonts w:eastAsia="Times New Roman" w:cstheme="minorHAnsi"/>
          <w:lang w:eastAsia="sk-SK"/>
        </w:rPr>
        <w:t>u</w:t>
      </w:r>
      <w:r w:rsidR="009B78D9" w:rsidRPr="00D0488D">
        <w:rPr>
          <w:rFonts w:eastAsia="Times New Roman" w:cstheme="minorHAnsi"/>
          <w:lang w:eastAsia="sk-SK"/>
        </w:rPr>
        <w:t xml:space="preserve"> tohto obdobia</w:t>
      </w:r>
      <w:r w:rsidR="009B78D9" w:rsidRPr="009B78D9">
        <w:rPr>
          <w:rFonts w:eastAsia="Times New Roman" w:cstheme="minorHAnsi"/>
          <w:lang w:eastAsia="sk-SK"/>
        </w:rPr>
        <w:t>.</w:t>
      </w:r>
      <w:r w:rsidR="009B78D9">
        <w:rPr>
          <w:rFonts w:eastAsia="Times New Roman" w:cstheme="minorHAnsi"/>
          <w:lang w:eastAsia="sk-SK"/>
        </w:rPr>
        <w:t xml:space="preserve"> </w:t>
      </w:r>
      <w:r w:rsidR="003D6DB3" w:rsidRPr="009B78D9">
        <w:rPr>
          <w:rFonts w:cstheme="minorHAnsi"/>
        </w:rPr>
        <w:t>Rozhodujúcou skutočnosťou, či v daný deň je možné Hornád splavovať, je údaj na stránke SHMÚ daného dňa o 8.00 hod., v prípade výraznej zmeny tohto stavu v priebehu daného dňa je správca oprávnený splavovanie Hornádu obmedziť</w:t>
      </w:r>
      <w:r w:rsidRPr="009B78D9">
        <w:rPr>
          <w:rFonts w:cstheme="minorHAnsi"/>
        </w:rPr>
        <w:t>.</w:t>
      </w:r>
      <w:r w:rsidR="009B78D9" w:rsidRPr="009B78D9">
        <w:rPr>
          <w:rFonts w:cstheme="minorHAnsi"/>
        </w:rPr>
        <w:t xml:space="preserve"> </w:t>
      </w:r>
      <w:r w:rsidR="00ED746B">
        <w:t xml:space="preserve">Maximálny počet plavidiel za deň je 70 ks jedno alebo </w:t>
      </w:r>
      <w:r w:rsidR="00ED746B">
        <w:lastRenderedPageBreak/>
        <w:t>dvojmiestnych lodí.</w:t>
      </w:r>
      <w:r w:rsidR="00F417E5">
        <w:t xml:space="preserve"> Podľa oficiálnych záznamov splavilo Hornád v roku 2016 763 ľudí a v roku 2017 576 ľudí</w:t>
      </w:r>
      <w:r>
        <w:t xml:space="preserve">. V zime je využívaná zamrznutá rieka na </w:t>
      </w:r>
      <w:r w:rsidRPr="00180D0B">
        <w:t>pohyb po ľade</w:t>
      </w:r>
      <w:r>
        <w:t>.</w:t>
      </w:r>
    </w:p>
    <w:p w14:paraId="21F44E5B" w14:textId="17BDC761" w:rsidR="00812ADD" w:rsidRDefault="00812ADD" w:rsidP="00812ADD">
      <w:pPr>
        <w:spacing w:before="60" w:line="276" w:lineRule="auto"/>
        <w:jc w:val="both"/>
      </w:pPr>
      <w:r>
        <w:t xml:space="preserve">Na </w:t>
      </w:r>
      <w:r>
        <w:rPr>
          <w:b/>
        </w:rPr>
        <w:t>skalolezenie</w:t>
      </w:r>
      <w:r>
        <w:t xml:space="preserve"> je v NP v kaňone Prielom Hornádu vyhradený areál Tomášovský výhľad, ktorý je z pohľadu ochrany prírody, ale aj z pohľadu skalolezcov najvhodnejším miestom v NP na takúto aktivitu.</w:t>
      </w:r>
    </w:p>
    <w:p w14:paraId="346EC184" w14:textId="671BF5CA" w:rsidR="00812ADD" w:rsidRDefault="00812ADD" w:rsidP="00812ADD">
      <w:pPr>
        <w:spacing w:before="60" w:line="276" w:lineRule="auto"/>
        <w:jc w:val="both"/>
      </w:pPr>
      <w:r>
        <w:t xml:space="preserve">Z množstva jaskýň v NP je sprístupnená iba </w:t>
      </w:r>
      <w:r>
        <w:rPr>
          <w:b/>
        </w:rPr>
        <w:t>Dobšinská ľadová jaskyňa</w:t>
      </w:r>
      <w:r>
        <w:t xml:space="preserve">. Spolu so susednou Stratenskou jaskyňou sú od roku 2000 zapísané v Zozname svetového prírodného dedičstva. </w:t>
      </w:r>
      <w:r>
        <w:rPr>
          <w:bCs/>
        </w:rPr>
        <w:t xml:space="preserve">Jaskyňa je otvorená len v letnej turistickej sezóne a zaznamenáva vysoký počet návštevníkov, </w:t>
      </w:r>
      <w:r>
        <w:t>v zimných mesiacoch je</w:t>
      </w:r>
      <w:r w:rsidR="00987BA0">
        <w:t xml:space="preserve"> uzavretá - je</w:t>
      </w:r>
      <w:r>
        <w:t xml:space="preserve"> významným zimoviskom netopierov.</w:t>
      </w:r>
      <w:r w:rsidR="00BF09B5">
        <w:t xml:space="preserve"> </w:t>
      </w:r>
      <w:r w:rsidR="00063483" w:rsidRPr="00063483">
        <w:t>Pri bežnej návštevnosti sú vstupy organizované podľa časov vo vstupnom poriadku, pri zvýšenej návštevnosti sa vstupy organizujú priebežne v intervaloch podľa charakteru a aktuálnej možnosti danej prevádzky jaskyne, t.j. aj v čase medzi pravidelnými vstupmi v zmysle platného vstupného poriadku.</w:t>
      </w:r>
    </w:p>
    <w:p w14:paraId="5A1AEE96" w14:textId="112F3847" w:rsidR="00180D0B" w:rsidRDefault="00812ADD" w:rsidP="00812ADD">
      <w:pPr>
        <w:spacing w:before="60"/>
        <w:jc w:val="both"/>
      </w:pPr>
      <w:r>
        <w:rPr>
          <w:b/>
        </w:rPr>
        <w:t>Jazda na koni</w:t>
      </w:r>
      <w:r w:rsidR="006D043A">
        <w:rPr>
          <w:b/>
        </w:rPr>
        <w:t xml:space="preserve"> (hipo</w:t>
      </w:r>
      <w:r w:rsidR="0015246F">
        <w:rPr>
          <w:b/>
        </w:rPr>
        <w:t>turistika)</w:t>
      </w:r>
      <w:r>
        <w:t xml:space="preserve"> je jednou z aktivít agroturistiky. Jazdu na koni v NP majú výnimkou povolenú 4 subjekty, pričom len u Združenia pre rozvoj CR “HUCUL” ide o rozsiahlejšiu aktivitu, keď je jazda na koni povolená na 8 trasách v širšom okolí Podleska a Dobšinskej Ľadovej Jaskyne na území s 2., 3., ale aj 5. stupňom ochrany (NPR Hnilecká jelšina).</w:t>
      </w:r>
    </w:p>
    <w:p w14:paraId="3A55FAD4" w14:textId="3D60C828" w:rsidR="00812ADD" w:rsidRDefault="00812ADD" w:rsidP="00812ADD">
      <w:pPr>
        <w:spacing w:before="60"/>
        <w:jc w:val="both"/>
      </w:pPr>
      <w:r>
        <w:t>Na území NP je jedinou väčšou vodnou plochou VN Palcmanská Maša o výmere 85 ha</w:t>
      </w:r>
      <w:r w:rsidR="003A608C">
        <w:rPr>
          <w:rStyle w:val="Odkaznapoznmkupodiarou"/>
        </w:rPr>
        <w:footnoteReference w:id="1"/>
      </w:r>
      <w:r w:rsidR="00364598">
        <w:t xml:space="preserve">, </w:t>
      </w:r>
      <w:r w:rsidR="00364598" w:rsidRPr="00364598">
        <w:rPr>
          <w:rFonts w:cstheme="minorHAnsi"/>
        </w:rPr>
        <w:t>pri</w:t>
      </w:r>
      <w:r w:rsidR="006766D1" w:rsidRPr="00364598">
        <w:rPr>
          <w:rFonts w:cstheme="minorHAnsi"/>
          <w:shd w:val="clear" w:color="auto" w:fill="FFFFFF"/>
        </w:rPr>
        <w:t xml:space="preserve"> dosiahnutí maximálnej hladiny</w:t>
      </w:r>
      <w:r w:rsidR="00364598">
        <w:rPr>
          <w:rFonts w:cstheme="minorHAnsi"/>
          <w:shd w:val="clear" w:color="auto" w:fill="FFFFFF"/>
        </w:rPr>
        <w:t xml:space="preserve"> dosahuje nadmorskú výšku</w:t>
      </w:r>
      <w:r w:rsidR="006766D1" w:rsidRPr="00364598">
        <w:rPr>
          <w:rFonts w:cstheme="minorHAnsi"/>
          <w:shd w:val="clear" w:color="auto" w:fill="FFFFFF"/>
        </w:rPr>
        <w:t xml:space="preserve"> 786,10 m</w:t>
      </w:r>
      <w:r w:rsidR="00364598">
        <w:rPr>
          <w:rFonts w:cstheme="minorHAnsi"/>
          <w:shd w:val="clear" w:color="auto" w:fill="FFFFFF"/>
        </w:rPr>
        <w:t xml:space="preserve"> n. m.</w:t>
      </w:r>
      <w:r>
        <w:t xml:space="preserve"> </w:t>
      </w:r>
      <w:r w:rsidR="00364598">
        <w:t xml:space="preserve">je tu povolené </w:t>
      </w:r>
      <w:r w:rsidR="00364598" w:rsidRPr="00364598">
        <w:rPr>
          <w:b/>
        </w:rPr>
        <w:t>č</w:t>
      </w:r>
      <w:r w:rsidRPr="00364598">
        <w:rPr>
          <w:b/>
        </w:rPr>
        <w:t>lnk</w:t>
      </w:r>
      <w:r>
        <w:rPr>
          <w:b/>
        </w:rPr>
        <w:t>ovanie</w:t>
      </w:r>
      <w:r w:rsidR="00364598">
        <w:rPr>
          <w:b/>
        </w:rPr>
        <w:t xml:space="preserve"> </w:t>
      </w:r>
      <w:r>
        <w:t>až po Stratenskú Pílu.</w:t>
      </w:r>
      <w:r w:rsidR="00987BA0">
        <w:t xml:space="preserve"> Súčasťou </w:t>
      </w:r>
      <w:r w:rsidR="00364598">
        <w:t>pobytu</w:t>
      </w:r>
      <w:r w:rsidR="00987BA0">
        <w:t xml:space="preserve"> pri nádrži sú aj ďalšie </w:t>
      </w:r>
      <w:r w:rsidR="00987BA0" w:rsidRPr="00987BA0">
        <w:rPr>
          <w:b/>
        </w:rPr>
        <w:t>vodné športy a re</w:t>
      </w:r>
      <w:r w:rsidR="00364598">
        <w:rPr>
          <w:b/>
        </w:rPr>
        <w:t>kreácia</w:t>
      </w:r>
      <w:r w:rsidR="00987BA0">
        <w:t>.</w:t>
      </w:r>
      <w:r w:rsidR="0001787F">
        <w:t xml:space="preserve"> Kúpanie vo vodnej nádrži Palcmanská Maša nie je oficiálne povolené, resp. </w:t>
      </w:r>
      <w:r w:rsidR="00364598">
        <w:t xml:space="preserve">je možné </w:t>
      </w:r>
      <w:r w:rsidR="0001787F">
        <w:t>iba na vlastnú zodpovednosť.</w:t>
      </w:r>
      <w:r w:rsidR="00D35278">
        <w:t xml:space="preserve"> Ako dôvody sú správou NP uvádzané príliš studená voda (najchladnejšia VN na Slovensku) a kolísanie vodnej hladiny (v súčasnosti sa dôraz kladie na jej energetické využívanie).</w:t>
      </w:r>
    </w:p>
    <w:p w14:paraId="5A9A7478" w14:textId="14694A39" w:rsidR="00812ADD" w:rsidRDefault="00097A38" w:rsidP="006E2F26">
      <w:pPr>
        <w:spacing w:before="60"/>
        <w:jc w:val="both"/>
      </w:pPr>
      <w:r w:rsidRPr="00097A38">
        <w:rPr>
          <w:b/>
        </w:rPr>
        <w:t>Rybolov</w:t>
      </w:r>
      <w:r>
        <w:t xml:space="preserve"> je povolený na základe povolenia v kaprových a pstruhových revíroch na riekach Hornád, Hnilec a </w:t>
      </w:r>
      <w:r w:rsidR="00572C60">
        <w:t>na</w:t>
      </w:r>
      <w:r>
        <w:t xml:space="preserve"> </w:t>
      </w:r>
      <w:r w:rsidR="00572C60">
        <w:t>VN</w:t>
      </w:r>
      <w:r>
        <w:t xml:space="preserve"> Palcmanská Maša</w:t>
      </w:r>
      <w:r w:rsidR="00572C60">
        <w:t xml:space="preserve"> (pre verejnosť iba na VN Palcmanskej Maši).</w:t>
      </w:r>
    </w:p>
    <w:p w14:paraId="5C714BDA" w14:textId="705E96CF" w:rsidR="00B81706" w:rsidRPr="005233CF" w:rsidRDefault="00B81706" w:rsidP="0038174C">
      <w:pPr>
        <w:spacing w:line="276" w:lineRule="auto"/>
        <w:jc w:val="both"/>
        <w:rPr>
          <w:i/>
          <w:color w:val="ED7D31" w:themeColor="accent2"/>
        </w:rPr>
      </w:pPr>
      <w:r w:rsidRPr="005233CF">
        <w:rPr>
          <w:i/>
          <w:color w:val="ED7D31" w:themeColor="accent2"/>
        </w:rPr>
        <w:t>Zimná sezóna</w:t>
      </w:r>
    </w:p>
    <w:p w14:paraId="05B931E6" w14:textId="7B5D1EF0" w:rsidR="00812ADD" w:rsidRDefault="00812ADD" w:rsidP="00812ADD">
      <w:pPr>
        <w:spacing w:line="276" w:lineRule="auto"/>
        <w:jc w:val="both"/>
      </w:pPr>
      <w:r>
        <w:rPr>
          <w:b/>
        </w:rPr>
        <w:t>Zjazdové lyžovanie</w:t>
      </w:r>
      <w:r>
        <w:t xml:space="preserve"> </w:t>
      </w:r>
      <w:r w:rsidR="00071100">
        <w:t xml:space="preserve">(príp. snowboarding) </w:t>
      </w:r>
      <w:r>
        <w:t xml:space="preserve">je sústredené mimo krasovej časti NP, hlavne </w:t>
      </w:r>
      <w:r w:rsidR="00ED04AF">
        <w:t xml:space="preserve">v </w:t>
      </w:r>
      <w:r>
        <w:t xml:space="preserve">lyžiarskych strediskách Mlynky (Biele vody </w:t>
      </w:r>
      <w:r>
        <w:rPr>
          <w:rFonts w:cs="Arial"/>
          <w:color w:val="000000"/>
          <w:shd w:val="clear" w:color="auto" w:fill="F9F9F9"/>
        </w:rPr>
        <w:t>760m - 850m, Ski Gugel 730m - 996m)</w:t>
      </w:r>
      <w:r>
        <w:t>,</w:t>
      </w:r>
      <w:r w:rsidR="00462DD9">
        <w:t xml:space="preserve"> Ski</w:t>
      </w:r>
      <w:r>
        <w:t xml:space="preserve"> Dedinky (</w:t>
      </w:r>
      <w:r>
        <w:rPr>
          <w:rFonts w:cs="Arial"/>
          <w:color w:val="000000"/>
          <w:shd w:val="clear" w:color="auto" w:fill="F9F9F9"/>
        </w:rPr>
        <w:t>830m - 910m)</w:t>
      </w:r>
      <w:r>
        <w:t xml:space="preserve">, </w:t>
      </w:r>
      <w:r w:rsidR="00462DD9">
        <w:t xml:space="preserve">Ski </w:t>
      </w:r>
      <w:r>
        <w:t>Vernár</w:t>
      </w:r>
      <w:r w:rsidR="00462DD9">
        <w:t xml:space="preserve"> - Studničky</w:t>
      </w:r>
      <w:r>
        <w:t xml:space="preserve"> (</w:t>
      </w:r>
      <w:r>
        <w:rPr>
          <w:rFonts w:eastAsia="Times New Roman" w:cs="Arial"/>
          <w:color w:val="000000"/>
          <w:lang w:eastAsia="en-GB"/>
        </w:rPr>
        <w:t>808m - 1000m)</w:t>
      </w:r>
      <w:r w:rsidR="00ED04AF">
        <w:t xml:space="preserve">, </w:t>
      </w:r>
      <w:r>
        <w:t>Spišské Bystré (</w:t>
      </w:r>
      <w:r>
        <w:rPr>
          <w:rFonts w:cs="Arial"/>
          <w:color w:val="000000"/>
          <w:shd w:val="clear" w:color="auto" w:fill="F9F9F9"/>
        </w:rPr>
        <w:t>675m - 780m)</w:t>
      </w:r>
      <w:r w:rsidR="00462DD9">
        <w:t xml:space="preserve"> a Ski Telgárt (920m - 1305m)</w:t>
      </w:r>
      <w:r w:rsidR="00FB6D17">
        <w:t xml:space="preserve"> </w:t>
      </w:r>
      <w:r w:rsidR="00C266CE">
        <w:t>Areály z</w:t>
      </w:r>
      <w:r w:rsidR="00FB6D17">
        <w:t>j</w:t>
      </w:r>
      <w:r w:rsidR="00C266CE">
        <w:t>azdového lyžovania sú lokalizované v </w:t>
      </w:r>
      <w:r w:rsidR="00C266CE" w:rsidRPr="006E2F26">
        <w:rPr>
          <w:b/>
        </w:rPr>
        <w:t>južnej časti NP Slovesnký raj</w:t>
      </w:r>
      <w:r w:rsidR="00C266CE">
        <w:t>.</w:t>
      </w:r>
    </w:p>
    <w:p w14:paraId="2CBBF842" w14:textId="57592DD5" w:rsidR="00812ADD" w:rsidRDefault="00812ADD" w:rsidP="00812ADD">
      <w:pPr>
        <w:spacing w:line="276" w:lineRule="auto"/>
        <w:jc w:val="both"/>
        <w:rPr>
          <w:rFonts w:eastAsia="Times New Roman" w:cs="Arial"/>
          <w:color w:val="000000"/>
          <w:lang w:eastAsia="en-GB"/>
        </w:rPr>
      </w:pPr>
      <w:r>
        <w:rPr>
          <w:b/>
        </w:rPr>
        <w:t>Bežecké lyžovanie</w:t>
      </w:r>
      <w:r>
        <w:t xml:space="preserve"> sa na území NP vykonáva hlavne na vyznačených bežeckých tratiach: Mlynky</w:t>
      </w:r>
      <w:r w:rsidR="00462DD9">
        <w:t xml:space="preserve"> </w:t>
      </w:r>
      <w:r>
        <w:t>-</w:t>
      </w:r>
      <w:r w:rsidR="00462DD9">
        <w:t xml:space="preserve"> </w:t>
      </w:r>
      <w:r>
        <w:t xml:space="preserve">Biele Vody – Okrúhla Jama – Havrania dolina – Mlynky </w:t>
      </w:r>
      <w:r w:rsidR="00462DD9">
        <w:t>(760m -</w:t>
      </w:r>
      <w:r w:rsidR="000844A1">
        <w:t xml:space="preserve"> </w:t>
      </w:r>
      <w:r w:rsidR="00462DD9">
        <w:t xml:space="preserve">920m) </w:t>
      </w:r>
      <w:r>
        <w:t>a</w:t>
      </w:r>
      <w:r w:rsidR="000844A1">
        <w:t> </w:t>
      </w:r>
      <w:r w:rsidR="00462DD9">
        <w:t>Grajnár</w:t>
      </w:r>
      <w:r w:rsidR="000844A1">
        <w:t xml:space="preserve"> (1020m -1100m)</w:t>
      </w:r>
      <w:r>
        <w:t>, kde sú udržiavané bežecké trate a po zamrznutom toku Hornádu. V ochrannom pásme je pohyb na lyžiach dovolený aj mimo značkovaných turistických chodníkov.</w:t>
      </w:r>
    </w:p>
    <w:p w14:paraId="422FBC31" w14:textId="77777777" w:rsidR="00812ADD" w:rsidRDefault="00812ADD" w:rsidP="00812ADD">
      <w:pPr>
        <w:spacing w:line="276" w:lineRule="auto"/>
        <w:jc w:val="both"/>
      </w:pPr>
      <w:r>
        <w:t xml:space="preserve">V zimnom období je na </w:t>
      </w:r>
      <w:r>
        <w:rPr>
          <w:b/>
        </w:rPr>
        <w:t>zimnú pešiu turistiku</w:t>
      </w:r>
      <w:r>
        <w:t xml:space="preserve"> možné využívať letné turistické značenie, avšak je potrebné zvýšiť dôkladnosť prípravy túry, jej výber a v teréne zvýšiť pozornosť. V celom území NP SR, </w:t>
      </w:r>
      <w:r>
        <w:lastRenderedPageBreak/>
        <w:t>okrem vyhradených areálov (zastavané územie obcí, rekreačné strediská a lyžiarske strediská), nie je možný pohyb mimo ZTCH.</w:t>
      </w:r>
    </w:p>
    <w:p w14:paraId="3C5370D4" w14:textId="186C9962" w:rsidR="00812ADD" w:rsidRDefault="00812ADD" w:rsidP="00812ADD">
      <w:pPr>
        <w:spacing w:before="60"/>
        <w:jc w:val="both"/>
      </w:pPr>
      <w:r>
        <w:rPr>
          <w:b/>
        </w:rPr>
        <w:t>Lezenie po ľadopádoch</w:t>
      </w:r>
      <w:r>
        <w:t xml:space="preserve"> patrí medzi sezónne aktivity úzkej skupiny návštevníkov. Pre tento účel z hľadiska ochrany prírody a z hľadiska bezpečnosti sú vyhradené v NP 4 miesta, kde je možné túto činnosť vykonávať: Suchá Belá – trasa turistického chodníka, Sokolia dolina – trasa turistického chodníka, Kláštorská roklina – trasa turistického chodník, Letanovský Mlyn – vyhradený areál.</w:t>
      </w:r>
      <w:r w:rsidR="00180D0B">
        <w:t xml:space="preserve"> Areály sú lokalizované (okrem jedného) v severnej časti NP Slovenský raj.</w:t>
      </w:r>
    </w:p>
    <w:p w14:paraId="194505F1" w14:textId="15236B28" w:rsidR="00B61D70" w:rsidRDefault="002E6BE1" w:rsidP="00812ADD">
      <w:pPr>
        <w:spacing w:before="60"/>
        <w:jc w:val="both"/>
      </w:pPr>
      <w:r>
        <w:t>Na území NP Slovenská raj sú aj udržiavané vonkajšie ľadové plochy, určené na korčuľovanie</w:t>
      </w:r>
      <w:r w:rsidR="00CE7E44">
        <w:t xml:space="preserve"> (jedná sa prírodné plochy alebo umelé, avšak bez technológie umožňujúcej zamŕzanie plochy.</w:t>
      </w:r>
    </w:p>
    <w:p w14:paraId="6ED939DE" w14:textId="2A267B72" w:rsidR="00FB6D17" w:rsidRPr="002670CE" w:rsidRDefault="00FB6D17" w:rsidP="00685AF7">
      <w:pPr>
        <w:spacing w:line="276" w:lineRule="auto"/>
        <w:jc w:val="both"/>
      </w:pPr>
      <w:r w:rsidRPr="002670CE">
        <w:t xml:space="preserve">Zamrznutý Hornád </w:t>
      </w:r>
      <w:r w:rsidR="003F4760" w:rsidRPr="002670CE">
        <w:t>je zimná atrakcia</w:t>
      </w:r>
      <w:r w:rsidR="008303E2" w:rsidRPr="002670CE">
        <w:t xml:space="preserve"> v kaňone</w:t>
      </w:r>
      <w:r w:rsidR="003F4760" w:rsidRPr="002670CE">
        <w:t>,</w:t>
      </w:r>
      <w:r w:rsidR="002670CE">
        <w:t xml:space="preserve"> umožňuje vidieť </w:t>
      </w:r>
      <w:r w:rsidR="002670CE" w:rsidRPr="002670CE">
        <w:rPr>
          <w:rStyle w:val="Zvraznenie"/>
          <w:rFonts w:cstheme="minorHAnsi"/>
          <w:i w:val="0"/>
        </w:rPr>
        <w:t>jeho prírodné krásy, ktoré sú pri bežnom pohybe po turistickom chodníku pre návštevníkov skryté</w:t>
      </w:r>
      <w:r w:rsidR="002670CE">
        <w:rPr>
          <w:rStyle w:val="Zvraznenie"/>
          <w:rFonts w:cstheme="minorHAnsi"/>
          <w:i w:val="0"/>
        </w:rPr>
        <w:t xml:space="preserve"> a</w:t>
      </w:r>
      <w:r w:rsidR="003F4760" w:rsidRPr="002670CE">
        <w:rPr>
          <w:i/>
        </w:rPr>
        <w:t xml:space="preserve"> </w:t>
      </w:r>
      <w:r w:rsidRPr="002670CE">
        <w:t>prináša podmienky pre korčuľov</w:t>
      </w:r>
      <w:r w:rsidR="008303E2" w:rsidRPr="002670CE">
        <w:t>a</w:t>
      </w:r>
      <w:r w:rsidRPr="002670CE">
        <w:t>nie, bežecké lyžovanie a pešiu turistiku</w:t>
      </w:r>
      <w:r w:rsidR="003F4760" w:rsidRPr="002670CE">
        <w:t xml:space="preserve"> po zamrznutej hladine rieky</w:t>
      </w:r>
      <w:r w:rsidR="008303E2" w:rsidRPr="002670CE">
        <w:t xml:space="preserve"> na úseku 12km</w:t>
      </w:r>
      <w:r w:rsidR="003F4760" w:rsidRPr="002670CE">
        <w:t>.</w:t>
      </w:r>
      <w:r w:rsidR="006F4220" w:rsidRPr="002670CE">
        <w:t xml:space="preserve"> </w:t>
      </w:r>
      <w:r w:rsidR="00364598" w:rsidRPr="002670CE">
        <w:t>Podľa</w:t>
      </w:r>
      <w:r w:rsidR="00FF2A25" w:rsidRPr="002670CE">
        <w:t xml:space="preserve"> záznamov Správy NP bolo prielom zamrznutý počas zimných sezón v rokoch 2004/2005, 2011/2012, 2015/2016 a 2016/2017</w:t>
      </w:r>
      <w:r w:rsidR="00014F8A" w:rsidRPr="002670CE">
        <w:t xml:space="preserve">, teda z posledných 13 zimných sezón bol zamrznutý počas </w:t>
      </w:r>
      <w:r w:rsidR="008303E2" w:rsidRPr="002670CE">
        <w:t>štyroch</w:t>
      </w:r>
      <w:r w:rsidR="00014F8A" w:rsidRPr="002670CE">
        <w:t xml:space="preserve"> z</w:t>
      </w:r>
      <w:r w:rsidR="008303E2" w:rsidRPr="002670CE">
        <w:t>imných sezón</w:t>
      </w:r>
      <w:r w:rsidR="00014F8A" w:rsidRPr="002670CE">
        <w:t>.</w:t>
      </w:r>
    </w:p>
    <w:p w14:paraId="0DF91D96" w14:textId="53192FE3" w:rsidR="006E2F26" w:rsidRDefault="000844A1" w:rsidP="00812ADD">
      <w:pPr>
        <w:spacing w:before="60"/>
        <w:jc w:val="both"/>
      </w:pPr>
      <w:r>
        <w:t xml:space="preserve">Pri vhodných snehových podmienkach je možné využiť aj </w:t>
      </w:r>
      <w:r w:rsidRPr="000844A1">
        <w:rPr>
          <w:b/>
        </w:rPr>
        <w:t>jazdy na saniach s konským záprahom</w:t>
      </w:r>
      <w:r>
        <w:t xml:space="preserve"> </w:t>
      </w:r>
      <w:r w:rsidR="00097A38" w:rsidRPr="00097A38">
        <w:rPr>
          <w:b/>
        </w:rPr>
        <w:t>a </w:t>
      </w:r>
      <w:r w:rsidR="00097A38" w:rsidRPr="0047462B">
        <w:rPr>
          <w:b/>
        </w:rPr>
        <w:t>skij</w:t>
      </w:r>
      <w:r w:rsidR="00097A38" w:rsidRPr="0047462B">
        <w:rPr>
          <w:rFonts w:cstheme="minorHAnsi"/>
          <w:b/>
        </w:rPr>
        <w:t>ö</w:t>
      </w:r>
      <w:r w:rsidR="00097A38" w:rsidRPr="0047462B">
        <w:rPr>
          <w:b/>
        </w:rPr>
        <w:t xml:space="preserve">ring </w:t>
      </w:r>
      <w:r w:rsidR="0047462B" w:rsidRPr="0047462B">
        <w:rPr>
          <w:b/>
        </w:rPr>
        <w:t>(zimná hipoturistika)</w:t>
      </w:r>
      <w:r w:rsidR="0047462B">
        <w:t xml:space="preserve"> </w:t>
      </w:r>
      <w:r>
        <w:t>v Malom Majeri v Podlesku a v Ranči pod ostrou skalou v blízkosti Dobšinskej ľadovej jaskyne.</w:t>
      </w:r>
    </w:p>
    <w:p w14:paraId="084F0563" w14:textId="202114E7" w:rsidR="00841766" w:rsidRDefault="00C52CAF" w:rsidP="00812ADD">
      <w:pPr>
        <w:spacing w:before="60"/>
        <w:jc w:val="both"/>
      </w:pPr>
      <w:r>
        <w:t xml:space="preserve">Počas celého roka sú k dispozícií aj festivaly a podujatia rôzneho charakteru, napr.  Snow Bike race, </w:t>
      </w:r>
      <w:r w:rsidR="009D7BC4">
        <w:t xml:space="preserve">výstup na Pálenicu, Gotika na dotyk, Čisté hory, Otvorenie letnej turistickej sezóny so spriedvodným programom, Folklórne slávnosti, Spišských 333 EXTREME, Trh ľudových remesiel a mnoho ďalších. Pre návštevníkov sú taktiež k dispozícií </w:t>
      </w:r>
      <w:r w:rsidR="009D7BC4" w:rsidRPr="00F0024B">
        <w:rPr>
          <w:b/>
        </w:rPr>
        <w:t>historické</w:t>
      </w:r>
      <w:r w:rsidR="00F0024B" w:rsidRPr="00F0024B">
        <w:rPr>
          <w:b/>
        </w:rPr>
        <w:t xml:space="preserve"> pamiatky</w:t>
      </w:r>
      <w:r w:rsidR="00F0024B">
        <w:t xml:space="preserve">, archeologické náleziská, napr. Kláštorisko so zvyškami kartuziánskeho kláštora (archeologická lokalita z 13. storočia), </w:t>
      </w:r>
      <w:r w:rsidR="009D7BC4">
        <w:t> </w:t>
      </w:r>
      <w:r w:rsidR="009D7BC4" w:rsidRPr="00F0024B">
        <w:rPr>
          <w:b/>
        </w:rPr>
        <w:t>technické pamiatky</w:t>
      </w:r>
      <w:r w:rsidR="00F0024B">
        <w:t xml:space="preserve"> (napr. pozostatky stredovekej a neskoršej baníckej a hutníckej činnosti).</w:t>
      </w:r>
    </w:p>
    <w:p w14:paraId="5DD68EC6" w14:textId="143F21F9" w:rsidR="006E2F26" w:rsidRDefault="006E2F26" w:rsidP="006E2F26">
      <w:pPr>
        <w:spacing w:line="276" w:lineRule="auto"/>
        <w:jc w:val="both"/>
      </w:pPr>
      <w:r>
        <w:t>Územie NP Slovenský raj je turisticky využívané hlavne v letnej sezóne, čo potvrdzuje aj návštevnosť v</w:t>
      </w:r>
      <w:r w:rsidR="00EA10FA">
        <w:t> roklinách a Dobšinskej ľadovej jaskyni</w:t>
      </w:r>
      <w:r>
        <w:t xml:space="preserve">. Zimný cestovný ruch pokrývajú najmä lyžiarske strediská a čiastočne aj </w:t>
      </w:r>
      <w:r w:rsidR="00EA10FA">
        <w:t xml:space="preserve">návštevy roklín či </w:t>
      </w:r>
      <w:r>
        <w:t>individuálne organizované jednodňové pobyty (výlety, napr. na bežkách).</w:t>
      </w:r>
    </w:p>
    <w:p w14:paraId="34B6A4A1" w14:textId="77777777" w:rsidR="006E2F26" w:rsidRDefault="006E2F26" w:rsidP="00812ADD">
      <w:pPr>
        <w:spacing w:before="60"/>
        <w:jc w:val="both"/>
      </w:pPr>
    </w:p>
    <w:p w14:paraId="04F477A9" w14:textId="25DA1E16" w:rsidR="00FC01E5" w:rsidRDefault="00653980" w:rsidP="0038174C">
      <w:pPr>
        <w:spacing w:line="276" w:lineRule="auto"/>
        <w:jc w:val="both"/>
      </w:pPr>
      <w:r>
        <w:rPr>
          <w:noProof/>
          <w:lang w:val="en-GB" w:eastAsia="en-GB"/>
        </w:rPr>
        <w:lastRenderedPageBreak/>
        <w:drawing>
          <wp:inline distT="0" distB="0" distL="0" distR="0" wp14:anchorId="3BC0EB50" wp14:editId="425D1920">
            <wp:extent cx="5760720" cy="5519420"/>
            <wp:effectExtent l="0" t="0" r="0" b="5080"/>
            <wp:docPr id="10" name="Obrázok 10" descr="Výrez obrazov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F428D5.tmp"/>
                    <pic:cNvPicPr/>
                  </pic:nvPicPr>
                  <pic:blipFill>
                    <a:blip r:embed="rId30">
                      <a:extLst>
                        <a:ext uri="{28A0092B-C50C-407E-A947-70E740481C1C}">
                          <a14:useLocalDpi xmlns:a14="http://schemas.microsoft.com/office/drawing/2010/main" val="0"/>
                        </a:ext>
                      </a:extLst>
                    </a:blip>
                    <a:stretch>
                      <a:fillRect/>
                    </a:stretch>
                  </pic:blipFill>
                  <pic:spPr>
                    <a:xfrm>
                      <a:off x="0" y="0"/>
                      <a:ext cx="5760720" cy="5519420"/>
                    </a:xfrm>
                    <a:prstGeom prst="rect">
                      <a:avLst/>
                    </a:prstGeom>
                  </pic:spPr>
                </pic:pic>
              </a:graphicData>
            </a:graphic>
          </wp:inline>
        </w:drawing>
      </w:r>
    </w:p>
    <w:p w14:paraId="21719B9E" w14:textId="237BEFB6" w:rsidR="009B43E5" w:rsidRDefault="00F16010" w:rsidP="00FC0704">
      <w:pPr>
        <w:keepNext/>
        <w:spacing w:before="60" w:line="276" w:lineRule="auto"/>
        <w:rPr>
          <w:b/>
          <w:sz w:val="18"/>
          <w:szCs w:val="18"/>
        </w:rPr>
      </w:pPr>
      <w:r w:rsidRPr="00384EF6">
        <w:rPr>
          <w:b/>
          <w:sz w:val="18"/>
          <w:szCs w:val="18"/>
        </w:rPr>
        <w:t xml:space="preserve">Obrázok </w:t>
      </w:r>
      <w:r w:rsidRPr="00384EF6">
        <w:rPr>
          <w:b/>
          <w:sz w:val="18"/>
          <w:szCs w:val="18"/>
        </w:rPr>
        <w:fldChar w:fldCharType="begin"/>
      </w:r>
      <w:r w:rsidRPr="00384EF6">
        <w:rPr>
          <w:b/>
          <w:sz w:val="18"/>
          <w:szCs w:val="18"/>
        </w:rPr>
        <w:instrText xml:space="preserve"> SEQ Obrázok \* ARABIC </w:instrText>
      </w:r>
      <w:r w:rsidRPr="00384EF6">
        <w:rPr>
          <w:b/>
          <w:sz w:val="18"/>
          <w:szCs w:val="18"/>
        </w:rPr>
        <w:fldChar w:fldCharType="separate"/>
      </w:r>
      <w:r w:rsidR="006F524D">
        <w:rPr>
          <w:b/>
          <w:noProof/>
          <w:sz w:val="18"/>
          <w:szCs w:val="18"/>
        </w:rPr>
        <w:t>5</w:t>
      </w:r>
      <w:r w:rsidRPr="00384EF6">
        <w:rPr>
          <w:b/>
          <w:sz w:val="18"/>
          <w:szCs w:val="18"/>
        </w:rPr>
        <w:fldChar w:fldCharType="end"/>
      </w:r>
      <w:r w:rsidRPr="00384EF6">
        <w:rPr>
          <w:b/>
          <w:sz w:val="18"/>
          <w:szCs w:val="18"/>
        </w:rPr>
        <w:t xml:space="preserve">. Ukážka mapy </w:t>
      </w:r>
      <w:r w:rsidR="00FC0704">
        <w:rPr>
          <w:b/>
          <w:sz w:val="18"/>
          <w:szCs w:val="18"/>
        </w:rPr>
        <w:t>NP</w:t>
      </w:r>
      <w:r w:rsidRPr="00384EF6">
        <w:rPr>
          <w:b/>
          <w:sz w:val="18"/>
          <w:szCs w:val="18"/>
        </w:rPr>
        <w:t xml:space="preserve"> Slovensk</w:t>
      </w:r>
      <w:r w:rsidR="00FC0704">
        <w:rPr>
          <w:b/>
          <w:sz w:val="18"/>
          <w:szCs w:val="18"/>
        </w:rPr>
        <w:t xml:space="preserve">ý </w:t>
      </w:r>
      <w:r w:rsidRPr="00384EF6">
        <w:rPr>
          <w:b/>
          <w:sz w:val="18"/>
          <w:szCs w:val="18"/>
        </w:rPr>
        <w:t>raj</w:t>
      </w:r>
      <w:r w:rsidR="005754A0">
        <w:rPr>
          <w:b/>
          <w:sz w:val="18"/>
          <w:szCs w:val="18"/>
        </w:rPr>
        <w:t xml:space="preserve"> s</w:t>
      </w:r>
      <w:r w:rsidR="0007204F">
        <w:rPr>
          <w:b/>
          <w:sz w:val="18"/>
          <w:szCs w:val="18"/>
        </w:rPr>
        <w:t> ponukou v</w:t>
      </w:r>
      <w:r w:rsidR="005754A0">
        <w:rPr>
          <w:b/>
          <w:sz w:val="18"/>
          <w:szCs w:val="18"/>
        </w:rPr>
        <w:t xml:space="preserve"> cestovn</w:t>
      </w:r>
      <w:r w:rsidR="0007204F">
        <w:rPr>
          <w:b/>
          <w:sz w:val="18"/>
          <w:szCs w:val="18"/>
        </w:rPr>
        <w:t>om</w:t>
      </w:r>
      <w:r w:rsidR="005754A0">
        <w:rPr>
          <w:b/>
          <w:sz w:val="18"/>
          <w:szCs w:val="18"/>
        </w:rPr>
        <w:t xml:space="preserve"> ruchu. Zdroj</w:t>
      </w:r>
      <w:r w:rsidR="00FC0704">
        <w:rPr>
          <w:b/>
          <w:sz w:val="18"/>
          <w:szCs w:val="18"/>
        </w:rPr>
        <w:t xml:space="preserve">: </w:t>
      </w:r>
      <w:r w:rsidR="00FC0704" w:rsidRPr="00FC0704">
        <w:rPr>
          <w:b/>
          <w:sz w:val="18"/>
          <w:szCs w:val="18"/>
        </w:rPr>
        <w:t>www.slovenskyraj.eu</w:t>
      </w:r>
    </w:p>
    <w:p w14:paraId="61395E8E" w14:textId="77777777" w:rsidR="006D043A" w:rsidRDefault="006D043A" w:rsidP="001F0BFE">
      <w:pPr>
        <w:spacing w:line="276" w:lineRule="auto"/>
        <w:jc w:val="both"/>
      </w:pPr>
    </w:p>
    <w:p w14:paraId="3214D62B" w14:textId="349EBE02" w:rsidR="001E24A4" w:rsidRDefault="00F36CDC" w:rsidP="00E30BB1">
      <w:pPr>
        <w:pStyle w:val="Nadpis2"/>
        <w:numPr>
          <w:ilvl w:val="1"/>
          <w:numId w:val="1"/>
        </w:numPr>
        <w:spacing w:line="276" w:lineRule="auto"/>
      </w:pPr>
      <w:r>
        <w:t xml:space="preserve"> </w:t>
      </w:r>
      <w:bookmarkStart w:id="12" w:name="_Toc509383577"/>
      <w:r w:rsidR="00824CE7">
        <w:t>N</w:t>
      </w:r>
      <w:r w:rsidR="001E24A4" w:rsidRPr="001E24A4">
        <w:t>ávštevnos</w:t>
      </w:r>
      <w:r w:rsidR="00824CE7">
        <w:t xml:space="preserve">ť </w:t>
      </w:r>
      <w:r w:rsidR="001E24A4" w:rsidRPr="001E24A4">
        <w:t>roklín v</w:t>
      </w:r>
      <w:r w:rsidR="00824CE7">
        <w:t> </w:t>
      </w:r>
      <w:r w:rsidR="001E24A4" w:rsidRPr="001E24A4">
        <w:t>Slovensk</w:t>
      </w:r>
      <w:r w:rsidR="00824CE7">
        <w:t xml:space="preserve">om </w:t>
      </w:r>
      <w:r w:rsidR="001E24A4" w:rsidRPr="001E24A4">
        <w:t>raj</w:t>
      </w:r>
      <w:r w:rsidR="00824CE7">
        <w:t>i</w:t>
      </w:r>
      <w:bookmarkEnd w:id="12"/>
    </w:p>
    <w:p w14:paraId="4852C299" w14:textId="2A003330" w:rsidR="001E24A4" w:rsidRDefault="001E24A4" w:rsidP="0038174C">
      <w:pPr>
        <w:spacing w:after="0" w:line="276" w:lineRule="auto"/>
        <w:rPr>
          <w:rFonts w:cstheme="minorHAnsi"/>
          <w:b/>
          <w:sz w:val="24"/>
          <w:szCs w:val="24"/>
        </w:rPr>
      </w:pPr>
    </w:p>
    <w:p w14:paraId="2C8387E1" w14:textId="007DADC5" w:rsidR="001E24A4" w:rsidRPr="00AD4989" w:rsidRDefault="001E24A4" w:rsidP="0038174C">
      <w:pPr>
        <w:spacing w:after="0" w:line="276" w:lineRule="auto"/>
        <w:jc w:val="both"/>
        <w:rPr>
          <w:rFonts w:cstheme="minorHAnsi"/>
          <w:szCs w:val="24"/>
        </w:rPr>
      </w:pPr>
      <w:r w:rsidRPr="00AD4989">
        <w:rPr>
          <w:rFonts w:cstheme="minorHAnsi"/>
          <w:szCs w:val="24"/>
        </w:rPr>
        <w:t>Správa NP Slovenský raj dlhodobo každoročne organizuje celodenné sčítanie turistov v území národného parku v zimnom (1 deň</w:t>
      </w:r>
      <w:r w:rsidR="00824CE7">
        <w:rPr>
          <w:rFonts w:cstheme="minorHAnsi"/>
          <w:szCs w:val="24"/>
        </w:rPr>
        <w:t xml:space="preserve"> vo</w:t>
      </w:r>
      <w:r w:rsidRPr="00AD4989">
        <w:rPr>
          <w:rFonts w:cstheme="minorHAnsi"/>
          <w:szCs w:val="24"/>
        </w:rPr>
        <w:t xml:space="preserve"> február</w:t>
      </w:r>
      <w:r w:rsidR="00824CE7">
        <w:rPr>
          <w:rFonts w:cstheme="minorHAnsi"/>
          <w:szCs w:val="24"/>
        </w:rPr>
        <w:t>i</w:t>
      </w:r>
      <w:r w:rsidRPr="00AD4989">
        <w:rPr>
          <w:rFonts w:cstheme="minorHAnsi"/>
          <w:szCs w:val="24"/>
        </w:rPr>
        <w:t xml:space="preserve"> alebo marc</w:t>
      </w:r>
      <w:r w:rsidR="00824CE7">
        <w:rPr>
          <w:rFonts w:cstheme="minorHAnsi"/>
          <w:szCs w:val="24"/>
        </w:rPr>
        <w:t>i</w:t>
      </w:r>
      <w:r w:rsidRPr="00AD4989">
        <w:rPr>
          <w:rFonts w:cstheme="minorHAnsi"/>
          <w:szCs w:val="24"/>
        </w:rPr>
        <w:t xml:space="preserve">) a letnom termíne (2 dni, jeden v júli, druhý v auguste, výsledky ktorých sa spriemerujú). Návštevnosť sa sleduje na 12 stanovištiach výlučne v prírodnom prostredí NP Slovenský raj, (na 11 turistických chodníkoch, ktorými sa vstupuje do NP Slovenský raj a eviduje sa návštevnosť  Dobšinskej ľadovej jaskyne). Do sčítania nie sú započítaní návštevníci v stravovacích a ubytovacích zariadeniach a v lyžiarskych strediskách. Dlhodobo najvyššia návštevnosť je v lokalitách </w:t>
      </w:r>
      <w:r w:rsidRPr="00824CE7">
        <w:rPr>
          <w:rFonts w:cstheme="minorHAnsi"/>
          <w:b/>
          <w:szCs w:val="24"/>
        </w:rPr>
        <w:t>Prielom Hornádu, Suchá Belá a Dobšinská ľadová jaskyňa</w:t>
      </w:r>
      <w:r w:rsidRPr="00AD4989">
        <w:rPr>
          <w:rFonts w:cstheme="minorHAnsi"/>
          <w:szCs w:val="24"/>
        </w:rPr>
        <w:t>. Sčítavanie je niekedy zaťažené chybou horšieho počasia. Sčítava sa na stanovišti v období od 8.00 do 16.00, takže k výsledné číslo návštevnosti je možno navýšiť o 5 % (na základe dlhodobého odhadu, koľko návštevníkov vyrazí na túru už ráno do 8.00 alebo poobede o 16.00 hodine)</w:t>
      </w:r>
      <w:r w:rsidR="00E50054">
        <w:rPr>
          <w:rFonts w:cstheme="minorHAnsi"/>
          <w:szCs w:val="24"/>
        </w:rPr>
        <w:t xml:space="preserve"> (podľa Správy NP Slovenský raj).</w:t>
      </w:r>
    </w:p>
    <w:p w14:paraId="64B8767A" w14:textId="77777777" w:rsidR="001E24A4" w:rsidRPr="001E24A4" w:rsidRDefault="001E24A4" w:rsidP="0038174C">
      <w:pPr>
        <w:spacing w:after="0" w:line="276" w:lineRule="auto"/>
        <w:rPr>
          <w:rFonts w:cstheme="minorHAnsi"/>
          <w:b/>
          <w:sz w:val="24"/>
          <w:szCs w:val="24"/>
        </w:rPr>
      </w:pPr>
    </w:p>
    <w:p w14:paraId="63767601" w14:textId="77777777" w:rsidR="00927B1E" w:rsidRDefault="002015ED" w:rsidP="0038174C">
      <w:pPr>
        <w:keepNext/>
        <w:spacing w:line="276" w:lineRule="auto"/>
      </w:pPr>
      <w:r>
        <w:rPr>
          <w:noProof/>
          <w:lang w:val="en-GB" w:eastAsia="en-GB"/>
        </w:rPr>
        <w:drawing>
          <wp:inline distT="0" distB="0" distL="0" distR="0" wp14:anchorId="5E2941D5" wp14:editId="6FF03C05">
            <wp:extent cx="5760720" cy="3127375"/>
            <wp:effectExtent l="0" t="0" r="11430" b="15875"/>
            <wp:docPr id="8" name="Graf 8">
              <a:extLst xmlns:a="http://schemas.openxmlformats.org/drawingml/2006/main">
                <a:ext uri="{FF2B5EF4-FFF2-40B4-BE49-F238E27FC236}">
                  <a16:creationId xmlns:a16="http://schemas.microsoft.com/office/drawing/2014/main" id="{A0840451-557F-4057-B1FB-881B626ECE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C3EC0B3" w14:textId="6B5B2B81" w:rsidR="001E24A4" w:rsidRPr="0011382E" w:rsidRDefault="00927B1E" w:rsidP="0038174C">
      <w:pPr>
        <w:pStyle w:val="Popis"/>
        <w:spacing w:line="276" w:lineRule="auto"/>
        <w:rPr>
          <w:b/>
          <w:i w:val="0"/>
          <w:color w:val="auto"/>
        </w:rPr>
      </w:pPr>
      <w:r w:rsidRPr="0011382E">
        <w:rPr>
          <w:b/>
          <w:i w:val="0"/>
          <w:color w:val="auto"/>
        </w:rPr>
        <w:t xml:space="preserve">Tab. </w:t>
      </w:r>
      <w:r w:rsidR="009B5E10" w:rsidRPr="0011382E">
        <w:rPr>
          <w:b/>
          <w:i w:val="0"/>
          <w:color w:val="auto"/>
        </w:rPr>
        <w:fldChar w:fldCharType="begin"/>
      </w:r>
      <w:r w:rsidR="009B5E10" w:rsidRPr="0011382E">
        <w:rPr>
          <w:b/>
          <w:i w:val="0"/>
          <w:color w:val="auto"/>
        </w:rPr>
        <w:instrText xml:space="preserve"> SEQ Tab. \* ARABIC </w:instrText>
      </w:r>
      <w:r w:rsidR="009B5E10" w:rsidRPr="0011382E">
        <w:rPr>
          <w:b/>
          <w:i w:val="0"/>
          <w:color w:val="auto"/>
        </w:rPr>
        <w:fldChar w:fldCharType="separate"/>
      </w:r>
      <w:r w:rsidRPr="0011382E">
        <w:rPr>
          <w:b/>
          <w:i w:val="0"/>
          <w:noProof/>
          <w:color w:val="auto"/>
        </w:rPr>
        <w:t>1</w:t>
      </w:r>
      <w:r w:rsidR="009B5E10" w:rsidRPr="0011382E">
        <w:rPr>
          <w:b/>
          <w:i w:val="0"/>
          <w:noProof/>
          <w:color w:val="auto"/>
        </w:rPr>
        <w:fldChar w:fldCharType="end"/>
      </w:r>
      <w:r w:rsidRPr="0011382E">
        <w:rPr>
          <w:b/>
          <w:i w:val="0"/>
          <w:color w:val="auto"/>
        </w:rPr>
        <w:t xml:space="preserve">. Sezónna a celoročná návštevnosť v roklinách Slovenského raja. Zdroj: Vlastné spracovanie, KRI Košice </w:t>
      </w:r>
      <w:r w:rsidR="002B1E31" w:rsidRPr="0011382E">
        <w:rPr>
          <w:b/>
          <w:i w:val="0"/>
          <w:color w:val="auto"/>
        </w:rPr>
        <w:t xml:space="preserve">na základe </w:t>
      </w:r>
      <w:r w:rsidRPr="0011382E">
        <w:rPr>
          <w:b/>
          <w:i w:val="0"/>
          <w:color w:val="auto"/>
        </w:rPr>
        <w:t> dát</w:t>
      </w:r>
      <w:r w:rsidR="00C30F0B" w:rsidRPr="0011382E">
        <w:rPr>
          <w:b/>
          <w:i w:val="0"/>
          <w:color w:val="auto"/>
        </w:rPr>
        <w:t xml:space="preserve"> a</w:t>
      </w:r>
      <w:r w:rsidRPr="0011382E">
        <w:rPr>
          <w:b/>
          <w:i w:val="0"/>
          <w:color w:val="auto"/>
        </w:rPr>
        <w:t> metodiky NP Slovenský raj (Ing. Dražil, PhD.)</w:t>
      </w:r>
      <w:r w:rsidR="00C30F0B" w:rsidRPr="0011382E">
        <w:rPr>
          <w:b/>
          <w:i w:val="0"/>
          <w:color w:val="auto"/>
        </w:rPr>
        <w:t>. *</w:t>
      </w:r>
      <w:r w:rsidR="00702788" w:rsidRPr="0011382E">
        <w:rPr>
          <w:b/>
          <w:i w:val="0"/>
          <w:color w:val="auto"/>
        </w:rPr>
        <w:t xml:space="preserve">sezónne </w:t>
      </w:r>
      <w:r w:rsidR="00C30F0B" w:rsidRPr="0011382E">
        <w:rPr>
          <w:b/>
          <w:i w:val="0"/>
          <w:color w:val="auto"/>
        </w:rPr>
        <w:t>hodnoty návštevníkov dodatočne korigované o koeficient +5%.</w:t>
      </w:r>
    </w:p>
    <w:p w14:paraId="237037A2" w14:textId="075A8429" w:rsidR="00C30F0B" w:rsidRPr="00C30F0B" w:rsidRDefault="00710E0D" w:rsidP="00F255FC">
      <w:pPr>
        <w:spacing w:line="276" w:lineRule="auto"/>
        <w:jc w:val="both"/>
      </w:pPr>
      <w:r>
        <w:t xml:space="preserve">Ročná návštevnosť má od roku 2010 </w:t>
      </w:r>
      <w:r w:rsidR="005C7CB0">
        <w:t xml:space="preserve">rastúci trend. </w:t>
      </w:r>
      <w:r w:rsidR="0001175F" w:rsidRPr="00C97EAA">
        <w:rPr>
          <w:b/>
        </w:rPr>
        <w:t>Najvyššia návštevnosť je zaznamenávaná v letných a prechodných mesiacoch roka</w:t>
      </w:r>
      <w:r w:rsidR="0001175F">
        <w:t>. Zimná návštevnosť je pomerne stabilná</w:t>
      </w:r>
      <w:r w:rsidR="0015246F">
        <w:t xml:space="preserve"> a v kaňonoch NP sa pohybuje od cca. 8 tisíc do cca. 30 tisíc návštevníkov</w:t>
      </w:r>
      <w:r w:rsidR="0001175F">
        <w:t>.</w:t>
      </w:r>
      <w:r w:rsidR="00F255FC">
        <w:t xml:space="preserve"> Prepad celkovej návštevnosti v roku 2014 je Správou NP odôvodňovaný veľmi nepriaznivým letným počasím v príslušnom roku.</w:t>
      </w:r>
    </w:p>
    <w:p w14:paraId="0B1A0FAC" w14:textId="52209CC2" w:rsidR="00C30F0B" w:rsidRPr="00C30F0B" w:rsidRDefault="00C30F0B" w:rsidP="0038174C">
      <w:pPr>
        <w:spacing w:line="276" w:lineRule="auto"/>
      </w:pPr>
    </w:p>
    <w:p w14:paraId="7020ED42" w14:textId="79EAF8BC" w:rsidR="00864336" w:rsidRDefault="00B879A3" w:rsidP="00E30BB1">
      <w:pPr>
        <w:pStyle w:val="Nadpis1"/>
        <w:numPr>
          <w:ilvl w:val="0"/>
          <w:numId w:val="6"/>
        </w:numPr>
        <w:spacing w:line="276" w:lineRule="auto"/>
      </w:pPr>
      <w:r>
        <w:t xml:space="preserve"> </w:t>
      </w:r>
      <w:bookmarkStart w:id="13" w:name="_Toc509383578"/>
      <w:r w:rsidR="000161DE">
        <w:t>Zmena klímy a jej možné dopady na cestovný ruch v NP Slovenský raj</w:t>
      </w:r>
      <w:bookmarkEnd w:id="13"/>
      <w:r w:rsidR="000161DE">
        <w:t xml:space="preserve"> </w:t>
      </w:r>
    </w:p>
    <w:p w14:paraId="453C0F14" w14:textId="77777777" w:rsidR="003817D6" w:rsidRPr="003817D6" w:rsidRDefault="003817D6" w:rsidP="0038174C">
      <w:pPr>
        <w:spacing w:line="276" w:lineRule="auto"/>
      </w:pPr>
    </w:p>
    <w:p w14:paraId="7841E9C4" w14:textId="22D03B37" w:rsidR="002039FF" w:rsidRDefault="003817D6" w:rsidP="00E30BB1">
      <w:pPr>
        <w:pStyle w:val="Nadpis2"/>
        <w:numPr>
          <w:ilvl w:val="1"/>
          <w:numId w:val="5"/>
        </w:numPr>
        <w:spacing w:line="276" w:lineRule="auto"/>
      </w:pPr>
      <w:r>
        <w:t xml:space="preserve"> </w:t>
      </w:r>
      <w:bookmarkStart w:id="14" w:name="_Toc509383579"/>
      <w:r w:rsidR="00F11FDE">
        <w:t>Zmena</w:t>
      </w:r>
      <w:r w:rsidR="00F42CD2">
        <w:t xml:space="preserve"> klímy </w:t>
      </w:r>
      <w:r w:rsidR="00F11FDE">
        <w:t xml:space="preserve">a </w:t>
      </w:r>
      <w:r w:rsidR="00F42CD2">
        <w:t>NP Slovenský raj</w:t>
      </w:r>
      <w:bookmarkEnd w:id="14"/>
      <w:r w:rsidR="00F42CD2">
        <w:t xml:space="preserve"> </w:t>
      </w:r>
      <w:r w:rsidR="00872211">
        <w:t xml:space="preserve"> </w:t>
      </w:r>
    </w:p>
    <w:p w14:paraId="1A652E8A" w14:textId="36B71716" w:rsidR="00E912D8" w:rsidRDefault="00E912D8" w:rsidP="00E912D8"/>
    <w:p w14:paraId="03638E36" w14:textId="1CA892D8" w:rsidR="001B300C" w:rsidRDefault="000112E1" w:rsidP="00E912D8">
      <w:pPr>
        <w:autoSpaceDE w:val="0"/>
        <w:autoSpaceDN w:val="0"/>
        <w:adjustRightInd w:val="0"/>
        <w:spacing w:after="0" w:line="276" w:lineRule="auto"/>
        <w:jc w:val="both"/>
        <w:rPr>
          <w:rFonts w:cstheme="minorHAnsi"/>
          <w:highlight w:val="yellow"/>
        </w:rPr>
      </w:pPr>
      <w:r>
        <w:rPr>
          <w:rFonts w:cstheme="minorHAnsi"/>
        </w:rPr>
        <w:t xml:space="preserve">Klimatologickú štúdiu, zaoberajúcu sa konkrétnym </w:t>
      </w:r>
      <w:r w:rsidR="001B300C">
        <w:rPr>
          <w:rFonts w:cstheme="minorHAnsi"/>
        </w:rPr>
        <w:t xml:space="preserve">územím NP Slovenský raj a jej </w:t>
      </w:r>
      <w:r w:rsidR="00B2488E">
        <w:rPr>
          <w:rFonts w:cstheme="minorHAnsi"/>
        </w:rPr>
        <w:t>blízkeho okolia vypracoval Mgr.</w:t>
      </w:r>
      <w:r>
        <w:rPr>
          <w:rFonts w:cstheme="minorHAnsi"/>
        </w:rPr>
        <w:t xml:space="preserve"> </w:t>
      </w:r>
      <w:r w:rsidR="001B300C">
        <w:rPr>
          <w:rFonts w:cstheme="minorHAnsi"/>
        </w:rPr>
        <w:t xml:space="preserve">Jozef Pecho zo Slovenského hydrometeorologického ústavu v Bratislave </w:t>
      </w:r>
      <w:r w:rsidR="001B300C" w:rsidRPr="001B300C">
        <w:rPr>
          <w:rFonts w:cstheme="minorHAnsi"/>
          <w:highlight w:val="yellow"/>
        </w:rPr>
        <w:t>(</w:t>
      </w:r>
      <w:r w:rsidR="0036120D">
        <w:rPr>
          <w:rFonts w:cstheme="minorHAnsi"/>
          <w:highlight w:val="yellow"/>
        </w:rPr>
        <w:t>kompletná štúdia v </w:t>
      </w:r>
      <w:r w:rsidR="001B300C" w:rsidRPr="001B300C">
        <w:rPr>
          <w:rFonts w:cstheme="minorHAnsi"/>
          <w:highlight w:val="yellow"/>
        </w:rPr>
        <w:t>príloh</w:t>
      </w:r>
      <w:r w:rsidR="0036120D">
        <w:rPr>
          <w:rFonts w:cstheme="minorHAnsi"/>
          <w:highlight w:val="yellow"/>
        </w:rPr>
        <w:t>e 2</w:t>
      </w:r>
      <w:r w:rsidR="001B300C" w:rsidRPr="001B300C">
        <w:rPr>
          <w:rFonts w:cstheme="minorHAnsi"/>
          <w:highlight w:val="yellow"/>
        </w:rPr>
        <w:t>).</w:t>
      </w:r>
    </w:p>
    <w:p w14:paraId="68E8FE1A" w14:textId="1D536345" w:rsidR="00E912D8" w:rsidRDefault="00E912D8" w:rsidP="00E912D8">
      <w:pPr>
        <w:autoSpaceDE w:val="0"/>
        <w:autoSpaceDN w:val="0"/>
        <w:adjustRightInd w:val="0"/>
        <w:spacing w:after="0" w:line="276" w:lineRule="auto"/>
        <w:jc w:val="both"/>
        <w:rPr>
          <w:rFonts w:cstheme="minorHAnsi"/>
        </w:rPr>
      </w:pPr>
      <w:r w:rsidRPr="00E912D8">
        <w:rPr>
          <w:rFonts w:cstheme="minorHAnsi"/>
        </w:rPr>
        <w:t>Pozorovaný stúpajúci trend povrchovej teploty Zeme je najviac znateľným prejavom prebiehajúcej zmeny klímy. Zatiaľ čo však globálny priemer teploty prízemnej atmosféry stúpol od začiatku 20. storočia o takmer 1 °C, oblasť strednej Európy, vrátane Slovenska vykazuje za to isté obdobie približne dvojnásobne rýchlejšie otepľovanie (od začiatku 20. storočia miestami o takmer +2,0 °C/100 rokov</w:t>
      </w:r>
      <w:r>
        <w:rPr>
          <w:rFonts w:cstheme="minorHAnsi"/>
        </w:rPr>
        <w:t xml:space="preserve"> (SHMÚ 2018)</w:t>
      </w:r>
      <w:r w:rsidRPr="00E912D8">
        <w:rPr>
          <w:rFonts w:cstheme="minorHAnsi"/>
        </w:rPr>
        <w:t xml:space="preserve">. </w:t>
      </w:r>
    </w:p>
    <w:p w14:paraId="28FD6E40" w14:textId="2DBB57EB" w:rsidR="00200210" w:rsidRDefault="00E912D8" w:rsidP="00200210">
      <w:pPr>
        <w:autoSpaceDE w:val="0"/>
        <w:autoSpaceDN w:val="0"/>
        <w:adjustRightInd w:val="0"/>
        <w:spacing w:after="0" w:line="276" w:lineRule="auto"/>
        <w:jc w:val="both"/>
        <w:rPr>
          <w:rFonts w:cstheme="minorHAnsi"/>
        </w:rPr>
      </w:pPr>
      <w:r w:rsidRPr="00E912D8">
        <w:rPr>
          <w:rFonts w:cstheme="minorHAnsi"/>
        </w:rPr>
        <w:t xml:space="preserve">V oblasti NP Slovenský raj </w:t>
      </w:r>
      <w:r w:rsidRPr="00C122FC">
        <w:rPr>
          <w:rFonts w:cstheme="minorHAnsi"/>
          <w:b/>
        </w:rPr>
        <w:t>vzrástla priemerná ročná teplota vzduchu</w:t>
      </w:r>
      <w:r w:rsidRPr="00E912D8">
        <w:rPr>
          <w:rFonts w:cstheme="minorHAnsi"/>
        </w:rPr>
        <w:t xml:space="preserve"> v období od roku 1961 o približne </w:t>
      </w:r>
      <w:r w:rsidRPr="00B97488">
        <w:rPr>
          <w:rFonts w:cstheme="minorHAnsi"/>
          <w:b/>
        </w:rPr>
        <w:t>1,50 až 1,60 °C</w:t>
      </w:r>
      <w:r w:rsidRPr="00E912D8">
        <w:rPr>
          <w:rFonts w:cstheme="minorHAnsi"/>
        </w:rPr>
        <w:t xml:space="preserve"> (+0,3 °C/desaťročie; Obr. 4), </w:t>
      </w:r>
      <w:r w:rsidRPr="00C122FC">
        <w:rPr>
          <w:rFonts w:cstheme="minorHAnsi"/>
          <w:b/>
        </w:rPr>
        <w:t>najviac v</w:t>
      </w:r>
      <w:r w:rsidRPr="00E912D8">
        <w:rPr>
          <w:rFonts w:cstheme="minorHAnsi"/>
        </w:rPr>
        <w:t> </w:t>
      </w:r>
      <w:r w:rsidRPr="00E912D8">
        <w:rPr>
          <w:rFonts w:cstheme="minorHAnsi"/>
          <w:b/>
        </w:rPr>
        <w:t>lete</w:t>
      </w:r>
      <w:r w:rsidRPr="00E912D8">
        <w:rPr>
          <w:rFonts w:cstheme="minorHAnsi"/>
        </w:rPr>
        <w:t xml:space="preserve">, a to o viac ako 2,0 °C </w:t>
      </w:r>
      <w:r w:rsidRPr="00C122FC">
        <w:rPr>
          <w:rFonts w:cstheme="minorHAnsi"/>
          <w:b/>
        </w:rPr>
        <w:t>a zime</w:t>
      </w:r>
      <w:r w:rsidRPr="00E912D8">
        <w:rPr>
          <w:rFonts w:cstheme="minorHAnsi"/>
        </w:rPr>
        <w:t xml:space="preserve"> o ~ 1,8 °C, naopak najmenej na jeseň 0,45 °C a na jar 1,45 °C (Obr. 5). Pri porovnaní vybraných dvoch období </w:t>
      </w:r>
      <w:r w:rsidRPr="00E912D8">
        <w:rPr>
          <w:rFonts w:cstheme="minorHAnsi"/>
        </w:rPr>
        <w:lastRenderedPageBreak/>
        <w:t xml:space="preserve">(1961-1990 a 1991-2017) vzrástol ročný priemer teploty vzduchu v priemere o 0,8 až 1,0 °C (v nadmorských výškach 600 až 900 m). V nadmorských výškach 900 až 1200 m (vo vrcholových častiach NP) sa rast teploty v jednotlivých sezónach významne neodlišoval v porovnaní so staničnými meraniami. Z hľadiska početnosti dní so špecifickou teplotou vzduchu, priemerný ročný </w:t>
      </w:r>
      <w:r w:rsidRPr="00A65B00">
        <w:rPr>
          <w:rFonts w:cstheme="minorHAnsi"/>
          <w:b/>
        </w:rPr>
        <w:t>počet mrazových dní od roku 1961 významne klesá</w:t>
      </w:r>
      <w:r w:rsidRPr="00E912D8">
        <w:rPr>
          <w:rFonts w:cstheme="minorHAnsi"/>
        </w:rPr>
        <w:t xml:space="preserve">, a to až o 2 až 3 dni za desaťročie (celkový pokles od roku 1961 v závislosti od nadmorskej výšky a expozície terénu je od 10 do 12 dní). Naopak </w:t>
      </w:r>
      <w:r w:rsidRPr="00A65B00">
        <w:rPr>
          <w:rFonts w:cstheme="minorHAnsi"/>
          <w:b/>
        </w:rPr>
        <w:t>počet letných a tropických dní významne rastie</w:t>
      </w:r>
      <w:r w:rsidRPr="00E912D8">
        <w:rPr>
          <w:rFonts w:cstheme="minorHAnsi"/>
        </w:rPr>
        <w:t xml:space="preserve">, miestami aj o viac ako 10 dní od roku 1961. </w:t>
      </w:r>
      <w:r w:rsidR="00200210">
        <w:rPr>
          <w:rFonts w:cstheme="minorHAnsi"/>
        </w:rPr>
        <w:br w:type="page"/>
      </w:r>
    </w:p>
    <w:p w14:paraId="07288B18" w14:textId="77777777" w:rsidR="00E912D8" w:rsidRPr="00200210" w:rsidRDefault="00E912D8" w:rsidP="00200210">
      <w:pPr>
        <w:autoSpaceDE w:val="0"/>
        <w:autoSpaceDN w:val="0"/>
        <w:adjustRightInd w:val="0"/>
        <w:spacing w:after="0" w:line="276" w:lineRule="auto"/>
        <w:jc w:val="both"/>
        <w:rPr>
          <w:rFonts w:cstheme="minorHAnsi"/>
        </w:rPr>
      </w:pPr>
    </w:p>
    <w:p w14:paraId="7C5E823F" w14:textId="18ECD3A6" w:rsidR="002D1D92" w:rsidRPr="00E912D8" w:rsidRDefault="002D1D92" w:rsidP="002D1D92">
      <w:pPr>
        <w:tabs>
          <w:tab w:val="center" w:pos="4536"/>
        </w:tabs>
      </w:pPr>
      <w:r>
        <w:rPr>
          <w:rFonts w:ascii="Times New Roman" w:hAnsi="Times New Roman"/>
          <w:b/>
          <w:noProof/>
          <w:sz w:val="24"/>
          <w:szCs w:val="24"/>
          <w:lang w:val="en-GB" w:eastAsia="en-GB"/>
        </w:rPr>
        <w:drawing>
          <wp:anchor distT="0" distB="0" distL="114300" distR="114300" simplePos="0" relativeHeight="251660288" behindDoc="0" locked="0" layoutInCell="1" allowOverlap="1" wp14:anchorId="0DE018B1" wp14:editId="5DF0A153">
            <wp:simplePos x="0" y="0"/>
            <wp:positionH relativeFrom="column">
              <wp:posOffset>3034030</wp:posOffset>
            </wp:positionH>
            <wp:positionV relativeFrom="paragraph">
              <wp:posOffset>5715</wp:posOffset>
            </wp:positionV>
            <wp:extent cx="2959735" cy="1799590"/>
            <wp:effectExtent l="0" t="0" r="0" b="0"/>
            <wp:wrapNone/>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59735" cy="1799590"/>
                    </a:xfrm>
                    <a:prstGeom prst="rect">
                      <a:avLst/>
                    </a:prstGeom>
                    <a:noFill/>
                  </pic:spPr>
                </pic:pic>
              </a:graphicData>
            </a:graphic>
          </wp:anchor>
        </w:drawing>
      </w:r>
      <w:r>
        <w:rPr>
          <w:rFonts w:ascii="Times New Roman" w:eastAsia="Times New Roman" w:hAnsi="Times New Roman"/>
          <w:noProof/>
          <w:color w:val="000000"/>
          <w:sz w:val="20"/>
          <w:szCs w:val="24"/>
          <w:lang w:val="en-GB" w:eastAsia="en-GB"/>
        </w:rPr>
        <w:drawing>
          <wp:anchor distT="0" distB="0" distL="114300" distR="114300" simplePos="0" relativeHeight="251659264" behindDoc="1" locked="0" layoutInCell="1" allowOverlap="1" wp14:anchorId="2F5C9800" wp14:editId="06879632">
            <wp:simplePos x="0" y="0"/>
            <wp:positionH relativeFrom="column">
              <wp:posOffset>-4445</wp:posOffset>
            </wp:positionH>
            <wp:positionV relativeFrom="paragraph">
              <wp:posOffset>-3810</wp:posOffset>
            </wp:positionV>
            <wp:extent cx="2994470" cy="1800000"/>
            <wp:effectExtent l="0" t="0" r="0" b="0"/>
            <wp:wrapNone/>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94470" cy="1800000"/>
                    </a:xfrm>
                    <a:prstGeom prst="rect">
                      <a:avLst/>
                    </a:prstGeom>
                    <a:noFill/>
                  </pic:spPr>
                </pic:pic>
              </a:graphicData>
            </a:graphic>
          </wp:anchor>
        </w:drawing>
      </w:r>
      <w:r>
        <w:tab/>
        <w:t xml:space="preserve">     </w:t>
      </w:r>
    </w:p>
    <w:p w14:paraId="7FAA80FA" w14:textId="77777777" w:rsidR="0000283B" w:rsidRDefault="0000283B" w:rsidP="0038174C">
      <w:pPr>
        <w:spacing w:line="276" w:lineRule="auto"/>
      </w:pPr>
    </w:p>
    <w:p w14:paraId="2CDED84B" w14:textId="0C36E6E7" w:rsidR="002039FF" w:rsidRDefault="002039FF" w:rsidP="0038174C">
      <w:pPr>
        <w:spacing w:line="276" w:lineRule="auto"/>
      </w:pPr>
    </w:p>
    <w:p w14:paraId="3144E730" w14:textId="3B65E9EA" w:rsidR="00EA791C" w:rsidRDefault="00EA791C" w:rsidP="0038174C">
      <w:pPr>
        <w:spacing w:line="276" w:lineRule="auto"/>
      </w:pPr>
    </w:p>
    <w:p w14:paraId="4FCB88CE" w14:textId="4E4C15A9" w:rsidR="00EA791C" w:rsidRDefault="00EA791C" w:rsidP="0038174C">
      <w:pPr>
        <w:spacing w:line="276" w:lineRule="auto"/>
      </w:pPr>
    </w:p>
    <w:p w14:paraId="57E7D187" w14:textId="77777777" w:rsidR="00EA791C" w:rsidRDefault="00EA791C" w:rsidP="0038174C">
      <w:pPr>
        <w:spacing w:line="276" w:lineRule="auto"/>
      </w:pPr>
    </w:p>
    <w:p w14:paraId="3129FB15" w14:textId="32863800" w:rsidR="00EA791C" w:rsidRDefault="009C396F" w:rsidP="0038174C">
      <w:pPr>
        <w:spacing w:line="276" w:lineRule="auto"/>
      </w:pPr>
      <w:r>
        <w:rPr>
          <w:noProof/>
          <w:lang w:val="en-GB" w:eastAsia="en-GB"/>
        </w:rPr>
        <mc:AlternateContent>
          <mc:Choice Requires="wps">
            <w:drawing>
              <wp:anchor distT="0" distB="0" distL="114300" distR="114300" simplePos="0" relativeHeight="251662336" behindDoc="1" locked="0" layoutInCell="1" allowOverlap="1" wp14:anchorId="65A6BBB5" wp14:editId="64998373">
                <wp:simplePos x="0" y="0"/>
                <wp:positionH relativeFrom="margin">
                  <wp:align>right</wp:align>
                </wp:positionH>
                <wp:positionV relativeFrom="paragraph">
                  <wp:posOffset>37465</wp:posOffset>
                </wp:positionV>
                <wp:extent cx="5753100" cy="485775"/>
                <wp:effectExtent l="0" t="0" r="0" b="9525"/>
                <wp:wrapNone/>
                <wp:docPr id="5" name="Textové pole 5"/>
                <wp:cNvGraphicFramePr/>
                <a:graphic xmlns:a="http://schemas.openxmlformats.org/drawingml/2006/main">
                  <a:graphicData uri="http://schemas.microsoft.com/office/word/2010/wordprocessingShape">
                    <wps:wsp>
                      <wps:cNvSpPr txBox="1"/>
                      <wps:spPr>
                        <a:xfrm>
                          <a:off x="0" y="0"/>
                          <a:ext cx="5753100" cy="485775"/>
                        </a:xfrm>
                        <a:prstGeom prst="rect">
                          <a:avLst/>
                        </a:prstGeom>
                        <a:solidFill>
                          <a:prstClr val="white"/>
                        </a:solidFill>
                        <a:ln>
                          <a:noFill/>
                        </a:ln>
                      </wps:spPr>
                      <wps:txbx>
                        <w:txbxContent>
                          <w:p w14:paraId="46E5C380" w14:textId="416A7B70" w:rsidR="00771BF9" w:rsidRPr="00760AF8" w:rsidRDefault="00771BF9" w:rsidP="009C396F">
                            <w:pPr>
                              <w:pStyle w:val="Popis"/>
                              <w:rPr>
                                <w:rFonts w:ascii="Times New Roman" w:hAnsi="Times New Roman"/>
                                <w:b/>
                                <w:i w:val="0"/>
                                <w:noProof/>
                                <w:color w:val="auto"/>
                                <w:sz w:val="24"/>
                                <w:szCs w:val="24"/>
                              </w:rPr>
                            </w:pPr>
                            <w:r w:rsidRPr="00760AF8">
                              <w:rPr>
                                <w:b/>
                                <w:i w:val="0"/>
                                <w:color w:val="auto"/>
                              </w:rPr>
                              <w:t xml:space="preserve">Obrázok </w:t>
                            </w:r>
                            <w:r w:rsidRPr="00760AF8">
                              <w:rPr>
                                <w:b/>
                                <w:i w:val="0"/>
                                <w:color w:val="auto"/>
                              </w:rPr>
                              <w:fldChar w:fldCharType="begin"/>
                            </w:r>
                            <w:r w:rsidRPr="00760AF8">
                              <w:rPr>
                                <w:b/>
                                <w:i w:val="0"/>
                                <w:color w:val="auto"/>
                              </w:rPr>
                              <w:instrText xml:space="preserve"> SEQ Obrázok \* ARABIC </w:instrText>
                            </w:r>
                            <w:r w:rsidRPr="00760AF8">
                              <w:rPr>
                                <w:b/>
                                <w:i w:val="0"/>
                                <w:color w:val="auto"/>
                              </w:rPr>
                              <w:fldChar w:fldCharType="separate"/>
                            </w:r>
                            <w:r>
                              <w:rPr>
                                <w:b/>
                                <w:i w:val="0"/>
                                <w:noProof/>
                                <w:color w:val="auto"/>
                              </w:rPr>
                              <w:t>6</w:t>
                            </w:r>
                            <w:r w:rsidRPr="00760AF8">
                              <w:rPr>
                                <w:b/>
                                <w:i w:val="0"/>
                                <w:color w:val="auto"/>
                              </w:rPr>
                              <w:fldChar w:fldCharType="end"/>
                            </w:r>
                            <w:r w:rsidRPr="00760AF8">
                              <w:rPr>
                                <w:b/>
                                <w:i w:val="0"/>
                                <w:color w:val="auto"/>
                              </w:rPr>
                              <w:t>. (vľavo) Časový vývoj ročnej priemernej teploty vzduchu [°C] na meteorologických staniciach Poprad, Telgárt a Švedlár v období rokov 1961-2017; (vpravo) časový vývoj ročného úhrnu atmosférických zrážok [mm] na meteorologických staniciach Poprad a Telgárt v období rokov 1961-2017. Zdroj: SHMÚ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6BBB5" id="Textové pole 5" o:spid="_x0000_s1027" type="#_x0000_t202" style="position:absolute;margin-left:401.8pt;margin-top:2.95pt;width:453pt;height:38.25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" stroked="f">
                <v:textbox inset="0,0,0,0">
                  <w:txbxContent>
                    <w:p w14:paraId="46E5C380" w14:textId="416A7B70" w:rsidR="00771BF9" w:rsidRPr="00760AF8" w:rsidRDefault="00771BF9" w:rsidP="009C396F">
                      <w:pPr>
                        <w:pStyle w:val="Popis"/>
                        <w:rPr>
                          <w:rFonts w:ascii="Times New Roman" w:hAnsi="Times New Roman"/>
                          <w:b/>
                          <w:i w:val="0"/>
                          <w:noProof/>
                          <w:color w:val="auto"/>
                          <w:sz w:val="24"/>
                          <w:szCs w:val="24"/>
                        </w:rPr>
                      </w:pPr>
                      <w:r w:rsidRPr="00760AF8">
                        <w:rPr>
                          <w:b/>
                          <w:i w:val="0"/>
                          <w:color w:val="auto"/>
                        </w:rPr>
                        <w:t xml:space="preserve">Obrázok </w:t>
                      </w:r>
                      <w:r w:rsidRPr="00760AF8">
                        <w:rPr>
                          <w:b/>
                          <w:i w:val="0"/>
                          <w:color w:val="auto"/>
                        </w:rPr>
                        <w:fldChar w:fldCharType="begin"/>
                      </w:r>
                      <w:r w:rsidRPr="00760AF8">
                        <w:rPr>
                          <w:b/>
                          <w:i w:val="0"/>
                          <w:color w:val="auto"/>
                        </w:rPr>
                        <w:instrText xml:space="preserve"> SEQ Obrázok \* ARABIC </w:instrText>
                      </w:r>
                      <w:r w:rsidRPr="00760AF8">
                        <w:rPr>
                          <w:b/>
                          <w:i w:val="0"/>
                          <w:color w:val="auto"/>
                        </w:rPr>
                        <w:fldChar w:fldCharType="separate"/>
                      </w:r>
                      <w:r>
                        <w:rPr>
                          <w:b/>
                          <w:i w:val="0"/>
                          <w:noProof/>
                          <w:color w:val="auto"/>
                        </w:rPr>
                        <w:t>6</w:t>
                      </w:r>
                      <w:r w:rsidRPr="00760AF8">
                        <w:rPr>
                          <w:b/>
                          <w:i w:val="0"/>
                          <w:color w:val="auto"/>
                        </w:rPr>
                        <w:fldChar w:fldCharType="end"/>
                      </w:r>
                      <w:r w:rsidRPr="00760AF8">
                        <w:rPr>
                          <w:b/>
                          <w:i w:val="0"/>
                          <w:color w:val="auto"/>
                        </w:rPr>
                        <w:t>. (vľavo) Časový vývoj ročnej priemernej teploty vzduchu [°C] na meteorologických staniciach Poprad, Telgárt a Švedlár v období rokov 1961-2017; (vpravo) časový vývoj ročného úhrnu atmosférických zrážok [mm] na meteorologických staniciach Poprad a Telgárt v období rokov 1961-2017. Zdroj: SHMÚ 2018.</w:t>
                      </w:r>
                    </w:p>
                  </w:txbxContent>
                </v:textbox>
                <w10:wrap anchorx="margin"/>
              </v:shape>
            </w:pict>
          </mc:Fallback>
        </mc:AlternateContent>
      </w:r>
    </w:p>
    <w:p w14:paraId="711F19EE" w14:textId="6D74BD11" w:rsidR="00EA791C" w:rsidRDefault="00EA791C" w:rsidP="0038174C">
      <w:pPr>
        <w:spacing w:line="276" w:lineRule="auto"/>
      </w:pPr>
    </w:p>
    <w:p w14:paraId="39DA5498" w14:textId="77777777" w:rsidR="005D5145" w:rsidRDefault="005D5145" w:rsidP="005D5145">
      <w:pPr>
        <w:keepNext/>
        <w:spacing w:line="276" w:lineRule="auto"/>
      </w:pPr>
      <w:r>
        <w:rPr>
          <w:rFonts w:ascii="Times New Roman" w:hAnsi="Times New Roman"/>
          <w:b/>
          <w:noProof/>
          <w:sz w:val="24"/>
          <w:szCs w:val="24"/>
          <w:lang w:val="en-GB" w:eastAsia="en-GB"/>
        </w:rPr>
        <w:drawing>
          <wp:anchor distT="0" distB="0" distL="114300" distR="114300" simplePos="0" relativeHeight="251663360" behindDoc="1" locked="0" layoutInCell="1" allowOverlap="1" wp14:anchorId="7CAC0001" wp14:editId="610BB568">
            <wp:simplePos x="0" y="0"/>
            <wp:positionH relativeFrom="column">
              <wp:posOffset>-4445</wp:posOffset>
            </wp:positionH>
            <wp:positionV relativeFrom="paragraph">
              <wp:posOffset>1905</wp:posOffset>
            </wp:positionV>
            <wp:extent cx="5760720" cy="3466743"/>
            <wp:effectExtent l="0" t="0" r="0" b="635"/>
            <wp:wrapNone/>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zóny_1961_2017.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3466743"/>
                    </a:xfrm>
                    <a:prstGeom prst="rect">
                      <a:avLst/>
                    </a:prstGeom>
                  </pic:spPr>
                </pic:pic>
              </a:graphicData>
            </a:graphic>
          </wp:anchor>
        </w:drawing>
      </w:r>
    </w:p>
    <w:p w14:paraId="1348A173" w14:textId="77777777" w:rsidR="00F206B8" w:rsidRDefault="00F206B8" w:rsidP="005D5145">
      <w:pPr>
        <w:pStyle w:val="Popis"/>
      </w:pPr>
    </w:p>
    <w:p w14:paraId="47345838" w14:textId="77777777" w:rsidR="00F206B8" w:rsidRDefault="00F206B8" w:rsidP="005D5145">
      <w:pPr>
        <w:pStyle w:val="Popis"/>
      </w:pPr>
    </w:p>
    <w:p w14:paraId="4C83CC98" w14:textId="77777777" w:rsidR="00F206B8" w:rsidRDefault="00F206B8" w:rsidP="005D5145">
      <w:pPr>
        <w:pStyle w:val="Popis"/>
      </w:pPr>
    </w:p>
    <w:p w14:paraId="54E9C689" w14:textId="77777777" w:rsidR="00F206B8" w:rsidRDefault="00F206B8" w:rsidP="005D5145">
      <w:pPr>
        <w:pStyle w:val="Popis"/>
      </w:pPr>
    </w:p>
    <w:p w14:paraId="6925512B" w14:textId="77777777" w:rsidR="00F206B8" w:rsidRDefault="00F206B8" w:rsidP="005D5145">
      <w:pPr>
        <w:pStyle w:val="Popis"/>
      </w:pPr>
    </w:p>
    <w:p w14:paraId="59AF8947" w14:textId="77777777" w:rsidR="00F206B8" w:rsidRDefault="00F206B8" w:rsidP="005D5145">
      <w:pPr>
        <w:pStyle w:val="Popis"/>
      </w:pPr>
    </w:p>
    <w:p w14:paraId="2AFEFDD5" w14:textId="77777777" w:rsidR="00F206B8" w:rsidRDefault="00F206B8" w:rsidP="005D5145">
      <w:pPr>
        <w:pStyle w:val="Popis"/>
      </w:pPr>
    </w:p>
    <w:p w14:paraId="646F3934" w14:textId="77777777" w:rsidR="00F206B8" w:rsidRDefault="00F206B8" w:rsidP="005D5145">
      <w:pPr>
        <w:pStyle w:val="Popis"/>
      </w:pPr>
    </w:p>
    <w:p w14:paraId="06D86E04" w14:textId="77777777" w:rsidR="00F206B8" w:rsidRDefault="00F206B8" w:rsidP="005D5145">
      <w:pPr>
        <w:pStyle w:val="Popis"/>
      </w:pPr>
    </w:p>
    <w:p w14:paraId="236BB665" w14:textId="77777777" w:rsidR="00F206B8" w:rsidRDefault="00F206B8" w:rsidP="005D5145">
      <w:pPr>
        <w:pStyle w:val="Popis"/>
      </w:pPr>
    </w:p>
    <w:p w14:paraId="360ED9D8" w14:textId="77777777" w:rsidR="00F206B8" w:rsidRDefault="00F206B8" w:rsidP="005D5145">
      <w:pPr>
        <w:pStyle w:val="Popis"/>
      </w:pPr>
    </w:p>
    <w:p w14:paraId="7EAAED44" w14:textId="77777777" w:rsidR="00F206B8" w:rsidRDefault="00F206B8" w:rsidP="005D5145">
      <w:pPr>
        <w:pStyle w:val="Popis"/>
      </w:pPr>
    </w:p>
    <w:p w14:paraId="5ACE3375" w14:textId="3198A858" w:rsidR="00EA791C" w:rsidRDefault="005D5145" w:rsidP="005D5145">
      <w:pPr>
        <w:pStyle w:val="Popis"/>
        <w:rPr>
          <w:b/>
          <w:i w:val="0"/>
          <w:color w:val="auto"/>
        </w:rPr>
      </w:pPr>
      <w:r w:rsidRPr="00290D96">
        <w:rPr>
          <w:b/>
          <w:i w:val="0"/>
          <w:color w:val="auto"/>
        </w:rPr>
        <w:t xml:space="preserve">Obrázok </w:t>
      </w:r>
      <w:r w:rsidRPr="00290D96">
        <w:rPr>
          <w:b/>
          <w:i w:val="0"/>
          <w:color w:val="auto"/>
        </w:rPr>
        <w:fldChar w:fldCharType="begin"/>
      </w:r>
      <w:r w:rsidRPr="00290D96">
        <w:rPr>
          <w:b/>
          <w:i w:val="0"/>
          <w:color w:val="auto"/>
        </w:rPr>
        <w:instrText xml:space="preserve"> SEQ Obrázok \* ARABIC </w:instrText>
      </w:r>
      <w:r w:rsidRPr="00290D96">
        <w:rPr>
          <w:b/>
          <w:i w:val="0"/>
          <w:color w:val="auto"/>
        </w:rPr>
        <w:fldChar w:fldCharType="separate"/>
      </w:r>
      <w:r w:rsidR="006F524D">
        <w:rPr>
          <w:b/>
          <w:i w:val="0"/>
          <w:noProof/>
          <w:color w:val="auto"/>
        </w:rPr>
        <w:t>7</w:t>
      </w:r>
      <w:r w:rsidRPr="00290D96">
        <w:rPr>
          <w:b/>
          <w:i w:val="0"/>
          <w:color w:val="auto"/>
        </w:rPr>
        <w:fldChar w:fldCharType="end"/>
      </w:r>
      <w:r w:rsidRPr="00290D96">
        <w:rPr>
          <w:b/>
          <w:i w:val="0"/>
          <w:color w:val="auto"/>
        </w:rPr>
        <w:t>. Časový vývoj sezónnej priemernej teploty vzduchu [°C] na jar, v lete, na jeseň a v zime na meteorologických staniciach Poprad, Telgárt a Švedlár v období rokov 1961-2017. Zdroj: SHMÚ</w:t>
      </w:r>
      <w:r w:rsidR="00290D96">
        <w:rPr>
          <w:b/>
          <w:i w:val="0"/>
          <w:color w:val="auto"/>
        </w:rPr>
        <w:t>, 2018.</w:t>
      </w:r>
    </w:p>
    <w:p w14:paraId="7D6332C4" w14:textId="73B740B0" w:rsidR="00C122FC" w:rsidRDefault="00C122FC" w:rsidP="00C122FC">
      <w:pPr>
        <w:autoSpaceDE w:val="0"/>
        <w:autoSpaceDN w:val="0"/>
        <w:adjustRightInd w:val="0"/>
        <w:spacing w:after="0" w:line="276" w:lineRule="auto"/>
        <w:jc w:val="both"/>
        <w:rPr>
          <w:rFonts w:cstheme="minorHAnsi"/>
        </w:rPr>
      </w:pPr>
      <w:r w:rsidRPr="00C122FC">
        <w:rPr>
          <w:rFonts w:cstheme="minorHAnsi"/>
        </w:rPr>
        <w:t xml:space="preserve">Čo sa týka snehovej situácie, od roku 1961 došlo k významnému </w:t>
      </w:r>
      <w:r w:rsidRPr="00C122FC">
        <w:rPr>
          <w:rFonts w:cstheme="minorHAnsi"/>
          <w:b/>
        </w:rPr>
        <w:t>poklesu celkového počtu dní so snehovou pokrývkou</w:t>
      </w:r>
      <w:r w:rsidRPr="00C122FC">
        <w:rPr>
          <w:rFonts w:cstheme="minorHAnsi"/>
        </w:rPr>
        <w:t xml:space="preserve">, a to predovšetkým v nižšie položených oblastiach NP, najmä na južne orientovaných svahoch v povodí vodného roku Slaná (v priemere pokles o 2 dni/desaťročie). Vo vyššie položených oblastiach NP (nad </w:t>
      </w:r>
      <w:r w:rsidR="001C34D6">
        <w:rPr>
          <w:rFonts w:cstheme="minorHAnsi"/>
        </w:rPr>
        <w:t>10</w:t>
      </w:r>
      <w:r w:rsidRPr="00C122FC">
        <w:rPr>
          <w:rFonts w:cstheme="minorHAnsi"/>
        </w:rPr>
        <w:t>00 m n.</w:t>
      </w:r>
      <w:r w:rsidR="00BD665F">
        <w:rPr>
          <w:rFonts w:cstheme="minorHAnsi"/>
        </w:rPr>
        <w:t xml:space="preserve"> </w:t>
      </w:r>
      <w:r w:rsidRPr="00C122FC">
        <w:rPr>
          <w:rFonts w:cstheme="minorHAnsi"/>
        </w:rPr>
        <w:t>m.) k významným zmenách počtu dní so snehovou pokrývkou nedochádza</w:t>
      </w:r>
      <w:r w:rsidR="00BD665F">
        <w:rPr>
          <w:rFonts w:cstheme="minorHAnsi"/>
        </w:rPr>
        <w:t>lo</w:t>
      </w:r>
      <w:r w:rsidRPr="00C122FC">
        <w:rPr>
          <w:rFonts w:cstheme="minorHAnsi"/>
        </w:rPr>
        <w:t xml:space="preserve"> (výnimkou sú iba najvyššie polohy NP). </w:t>
      </w:r>
    </w:p>
    <w:p w14:paraId="1E8D6277" w14:textId="74BF2386" w:rsidR="000E2F70" w:rsidRDefault="000E2F70" w:rsidP="00C122FC">
      <w:pPr>
        <w:autoSpaceDE w:val="0"/>
        <w:autoSpaceDN w:val="0"/>
        <w:adjustRightInd w:val="0"/>
        <w:spacing w:after="0" w:line="276" w:lineRule="auto"/>
        <w:jc w:val="both"/>
        <w:rPr>
          <w:rFonts w:cstheme="minorHAnsi"/>
        </w:rPr>
      </w:pPr>
    </w:p>
    <w:p w14:paraId="63C2BACC" w14:textId="4382EBFA" w:rsidR="008E7619" w:rsidRDefault="008E7619" w:rsidP="00C122FC">
      <w:pPr>
        <w:autoSpaceDE w:val="0"/>
        <w:autoSpaceDN w:val="0"/>
        <w:adjustRightInd w:val="0"/>
        <w:spacing w:after="0" w:line="276" w:lineRule="auto"/>
        <w:jc w:val="both"/>
        <w:rPr>
          <w:rFonts w:cstheme="minorHAnsi"/>
          <w:color w:val="C45911" w:themeColor="accent2" w:themeShade="BF"/>
        </w:rPr>
      </w:pPr>
      <w:r w:rsidRPr="008E7619">
        <w:rPr>
          <w:rFonts w:cstheme="minorHAnsi"/>
          <w:color w:val="C45911" w:themeColor="accent2" w:themeShade="BF"/>
        </w:rPr>
        <w:t>Predpokladan</w:t>
      </w:r>
      <w:r w:rsidR="00722B4E">
        <w:rPr>
          <w:rFonts w:cstheme="minorHAnsi"/>
          <w:color w:val="C45911" w:themeColor="accent2" w:themeShade="BF"/>
        </w:rPr>
        <w:t xml:space="preserve">ý budúci vývoj </w:t>
      </w:r>
      <w:r w:rsidRPr="008E7619">
        <w:rPr>
          <w:rFonts w:cstheme="minorHAnsi"/>
          <w:color w:val="C45911" w:themeColor="accent2" w:themeShade="BF"/>
        </w:rPr>
        <w:t>zmeny klímy</w:t>
      </w:r>
      <w:r w:rsidR="00047566">
        <w:rPr>
          <w:rFonts w:cstheme="minorHAnsi"/>
          <w:color w:val="C45911" w:themeColor="accent2" w:themeShade="BF"/>
        </w:rPr>
        <w:t xml:space="preserve"> na oblasť NP Slovenský raj</w:t>
      </w:r>
      <w:r w:rsidR="00722B4E">
        <w:rPr>
          <w:rFonts w:cstheme="minorHAnsi"/>
          <w:color w:val="C45911" w:themeColor="accent2" w:themeShade="BF"/>
        </w:rPr>
        <w:t xml:space="preserve"> a jej dopady</w:t>
      </w:r>
    </w:p>
    <w:p w14:paraId="58A060A5" w14:textId="4460B5D3" w:rsidR="00047566" w:rsidRDefault="00B23F25" w:rsidP="00047566">
      <w:pPr>
        <w:autoSpaceDE w:val="0"/>
        <w:autoSpaceDN w:val="0"/>
        <w:adjustRightInd w:val="0"/>
        <w:spacing w:after="0" w:line="276" w:lineRule="auto"/>
        <w:jc w:val="both"/>
        <w:rPr>
          <w:rFonts w:cstheme="minorHAnsi"/>
        </w:rPr>
      </w:pPr>
      <w:r w:rsidRPr="00B23F25">
        <w:rPr>
          <w:rFonts w:cstheme="minorHAnsi"/>
        </w:rPr>
        <w:t>Podľa Medzivládneho panelu OSN pre klimatickú zmenu (IPCC) sa odporúča použitie troch scenárov budúceho vývoja vplyvu človeka na klimatický systém Zeme: 1) Stredný odhad SRES A1B, 2) Horný stredný odhad SRES A2 a 3) Dolný stredný odhad SRES B1.</w:t>
      </w:r>
      <w:r>
        <w:rPr>
          <w:rFonts w:cstheme="minorHAnsi"/>
        </w:rPr>
        <w:t xml:space="preserve"> </w:t>
      </w:r>
      <w:r w:rsidR="00047566" w:rsidRPr="00047566">
        <w:rPr>
          <w:rFonts w:cstheme="minorHAnsi"/>
        </w:rPr>
        <w:t xml:space="preserve">V predmetnej štúdií </w:t>
      </w:r>
      <w:r w:rsidR="00047566">
        <w:rPr>
          <w:rFonts w:cstheme="minorHAnsi"/>
        </w:rPr>
        <w:t>boli použité</w:t>
      </w:r>
      <w:r w:rsidR="00047566" w:rsidRPr="00047566">
        <w:rPr>
          <w:rFonts w:cstheme="minorHAnsi"/>
        </w:rPr>
        <w:t xml:space="preserve"> denné výstupy klimatických modelov KNMI (Holandský, regionálny) so scenárom SRES A1B, a CGCM3.1 (Kanadský, globálny) so scenármi SRES A2 a SRES B1.</w:t>
      </w:r>
    </w:p>
    <w:p w14:paraId="0F4C9924" w14:textId="089BA71D" w:rsidR="005511B9" w:rsidRDefault="005511B9" w:rsidP="00047566">
      <w:pPr>
        <w:autoSpaceDE w:val="0"/>
        <w:autoSpaceDN w:val="0"/>
        <w:adjustRightInd w:val="0"/>
        <w:spacing w:after="0" w:line="276" w:lineRule="auto"/>
        <w:jc w:val="both"/>
        <w:rPr>
          <w:rFonts w:cstheme="minorHAnsi"/>
          <w:color w:val="C45911" w:themeColor="accent2" w:themeShade="BF"/>
        </w:rPr>
      </w:pPr>
    </w:p>
    <w:tbl>
      <w:tblPr>
        <w:tblW w:w="9038" w:type="dxa"/>
        <w:tblCellMar>
          <w:left w:w="70" w:type="dxa"/>
          <w:right w:w="70" w:type="dxa"/>
        </w:tblCellMar>
        <w:tblLook w:val="04A0" w:firstRow="1" w:lastRow="0" w:firstColumn="1" w:lastColumn="0" w:noHBand="0" w:noVBand="1"/>
      </w:tblPr>
      <w:tblGrid>
        <w:gridCol w:w="2458"/>
        <w:gridCol w:w="6580"/>
      </w:tblGrid>
      <w:tr w:rsidR="00332EE0" w:rsidRPr="00332EE0" w14:paraId="05704FDE" w14:textId="77777777" w:rsidTr="003D37BF">
        <w:trPr>
          <w:trHeight w:val="285"/>
        </w:trPr>
        <w:tc>
          <w:tcPr>
            <w:tcW w:w="9038" w:type="dxa"/>
            <w:gridSpan w:val="2"/>
            <w:tcBorders>
              <w:top w:val="single" w:sz="8" w:space="0" w:color="auto"/>
              <w:left w:val="single" w:sz="8" w:space="0" w:color="auto"/>
              <w:bottom w:val="single" w:sz="4" w:space="0" w:color="auto"/>
              <w:right w:val="single" w:sz="8" w:space="0" w:color="000000"/>
            </w:tcBorders>
            <w:shd w:val="clear" w:color="000000" w:fill="D0CECE"/>
            <w:noWrap/>
            <w:vAlign w:val="center"/>
            <w:hideMark/>
          </w:tcPr>
          <w:p w14:paraId="134CD411" w14:textId="77777777" w:rsidR="00332EE0" w:rsidRPr="00332EE0" w:rsidRDefault="00332EE0" w:rsidP="00332EE0">
            <w:pPr>
              <w:spacing w:after="0" w:line="240" w:lineRule="auto"/>
              <w:jc w:val="center"/>
              <w:rPr>
                <w:rFonts w:ascii="Calibri" w:eastAsia="Times New Roman" w:hAnsi="Calibri" w:cs="Calibri"/>
                <w:sz w:val="18"/>
                <w:szCs w:val="18"/>
                <w:lang w:eastAsia="sk-SK"/>
              </w:rPr>
            </w:pPr>
            <w:r w:rsidRPr="00332EE0">
              <w:rPr>
                <w:rFonts w:ascii="Calibri" w:eastAsia="Times New Roman" w:hAnsi="Calibri" w:cs="Calibri"/>
                <w:sz w:val="18"/>
                <w:szCs w:val="18"/>
                <w:lang w:eastAsia="sk-SK"/>
              </w:rPr>
              <w:t>Priemer teploty vzduchu v °C v Telgárte (podľa meraní)</w:t>
            </w:r>
          </w:p>
        </w:tc>
      </w:tr>
      <w:tr w:rsidR="00332EE0" w:rsidRPr="00332EE0" w14:paraId="567516E9" w14:textId="77777777" w:rsidTr="003D37BF">
        <w:trPr>
          <w:trHeight w:val="184"/>
        </w:trPr>
        <w:tc>
          <w:tcPr>
            <w:tcW w:w="2458" w:type="dxa"/>
            <w:tcBorders>
              <w:top w:val="nil"/>
              <w:left w:val="single" w:sz="8" w:space="0" w:color="auto"/>
              <w:bottom w:val="single" w:sz="4" w:space="0" w:color="auto"/>
              <w:right w:val="single" w:sz="4" w:space="0" w:color="auto"/>
            </w:tcBorders>
            <w:shd w:val="clear" w:color="auto" w:fill="auto"/>
            <w:noWrap/>
            <w:vAlign w:val="bottom"/>
            <w:hideMark/>
          </w:tcPr>
          <w:p w14:paraId="40B4BA43" w14:textId="77777777" w:rsidR="00332EE0" w:rsidRPr="00332EE0" w:rsidRDefault="00332EE0" w:rsidP="00332EE0">
            <w:pPr>
              <w:spacing w:after="0" w:line="240" w:lineRule="auto"/>
              <w:jc w:val="center"/>
              <w:rPr>
                <w:rFonts w:ascii="Calibri" w:eastAsia="Times New Roman" w:hAnsi="Calibri" w:cs="Calibri"/>
                <w:color w:val="000000"/>
                <w:sz w:val="18"/>
                <w:szCs w:val="18"/>
                <w:lang w:eastAsia="sk-SK"/>
              </w:rPr>
            </w:pPr>
            <w:r w:rsidRPr="00332EE0">
              <w:rPr>
                <w:rFonts w:ascii="Calibri" w:eastAsia="Times New Roman" w:hAnsi="Calibri" w:cs="Calibri"/>
                <w:color w:val="000000"/>
                <w:sz w:val="18"/>
                <w:szCs w:val="18"/>
                <w:lang w:eastAsia="sk-SK"/>
              </w:rPr>
              <w:t> </w:t>
            </w:r>
          </w:p>
        </w:tc>
        <w:tc>
          <w:tcPr>
            <w:tcW w:w="6580" w:type="dxa"/>
            <w:tcBorders>
              <w:top w:val="nil"/>
              <w:left w:val="nil"/>
              <w:bottom w:val="single" w:sz="4" w:space="0" w:color="auto"/>
              <w:right w:val="single" w:sz="8" w:space="0" w:color="auto"/>
            </w:tcBorders>
            <w:shd w:val="clear" w:color="auto" w:fill="auto"/>
            <w:noWrap/>
            <w:vAlign w:val="bottom"/>
            <w:hideMark/>
          </w:tcPr>
          <w:p w14:paraId="705A622C" w14:textId="77777777" w:rsidR="00332EE0" w:rsidRPr="00332EE0" w:rsidRDefault="00332EE0" w:rsidP="00332EE0">
            <w:pPr>
              <w:spacing w:after="0" w:line="240" w:lineRule="auto"/>
              <w:jc w:val="center"/>
              <w:rPr>
                <w:rFonts w:ascii="Calibri" w:eastAsia="Times New Roman" w:hAnsi="Calibri" w:cs="Calibri"/>
                <w:color w:val="000000"/>
                <w:sz w:val="18"/>
                <w:szCs w:val="18"/>
                <w:lang w:eastAsia="sk-SK"/>
              </w:rPr>
            </w:pPr>
            <w:r w:rsidRPr="00332EE0">
              <w:rPr>
                <w:rFonts w:ascii="Calibri" w:eastAsia="Times New Roman" w:hAnsi="Calibri" w:cs="Calibri"/>
                <w:color w:val="000000"/>
                <w:sz w:val="18"/>
                <w:szCs w:val="18"/>
                <w:lang w:eastAsia="sk-SK"/>
              </w:rPr>
              <w:t>Priemerná ročná teplota v °C</w:t>
            </w:r>
          </w:p>
        </w:tc>
      </w:tr>
      <w:tr w:rsidR="00332EE0" w:rsidRPr="00332EE0" w14:paraId="7101169E" w14:textId="77777777" w:rsidTr="003D37BF">
        <w:trPr>
          <w:trHeight w:val="219"/>
        </w:trPr>
        <w:tc>
          <w:tcPr>
            <w:tcW w:w="2458" w:type="dxa"/>
            <w:tcBorders>
              <w:top w:val="nil"/>
              <w:left w:val="single" w:sz="8" w:space="0" w:color="auto"/>
              <w:bottom w:val="single" w:sz="4" w:space="0" w:color="auto"/>
              <w:right w:val="single" w:sz="4" w:space="0" w:color="auto"/>
            </w:tcBorders>
            <w:shd w:val="clear" w:color="000000" w:fill="E2EFDA"/>
            <w:noWrap/>
            <w:vAlign w:val="bottom"/>
            <w:hideMark/>
          </w:tcPr>
          <w:p w14:paraId="64FCDC42" w14:textId="77777777" w:rsidR="00332EE0" w:rsidRPr="00332EE0" w:rsidRDefault="00332EE0" w:rsidP="00332EE0">
            <w:pPr>
              <w:spacing w:after="0" w:line="240" w:lineRule="auto"/>
              <w:jc w:val="center"/>
              <w:rPr>
                <w:rFonts w:ascii="Calibri" w:eastAsia="Times New Roman" w:hAnsi="Calibri" w:cs="Calibri"/>
                <w:color w:val="000000"/>
                <w:sz w:val="18"/>
                <w:szCs w:val="18"/>
                <w:lang w:eastAsia="sk-SK"/>
              </w:rPr>
            </w:pPr>
            <w:r w:rsidRPr="00332EE0">
              <w:rPr>
                <w:rFonts w:ascii="Calibri" w:eastAsia="Times New Roman" w:hAnsi="Calibri" w:cs="Calibri"/>
                <w:color w:val="000000"/>
                <w:sz w:val="18"/>
                <w:szCs w:val="18"/>
                <w:lang w:eastAsia="sk-SK"/>
              </w:rPr>
              <w:t>1961-1990</w:t>
            </w:r>
          </w:p>
        </w:tc>
        <w:tc>
          <w:tcPr>
            <w:tcW w:w="6580" w:type="dxa"/>
            <w:tcBorders>
              <w:top w:val="nil"/>
              <w:left w:val="nil"/>
              <w:bottom w:val="single" w:sz="4" w:space="0" w:color="auto"/>
              <w:right w:val="single" w:sz="8" w:space="0" w:color="auto"/>
            </w:tcBorders>
            <w:shd w:val="clear" w:color="auto" w:fill="auto"/>
            <w:noWrap/>
            <w:vAlign w:val="bottom"/>
            <w:hideMark/>
          </w:tcPr>
          <w:p w14:paraId="539AB43B" w14:textId="77777777" w:rsidR="00332EE0" w:rsidRPr="00332EE0" w:rsidRDefault="00332EE0" w:rsidP="00332EE0">
            <w:pPr>
              <w:spacing w:after="0" w:line="240" w:lineRule="auto"/>
              <w:jc w:val="center"/>
              <w:rPr>
                <w:rFonts w:ascii="Calibri" w:eastAsia="Times New Roman" w:hAnsi="Calibri" w:cs="Calibri"/>
                <w:color w:val="000000"/>
                <w:sz w:val="18"/>
                <w:szCs w:val="18"/>
                <w:lang w:eastAsia="sk-SK"/>
              </w:rPr>
            </w:pPr>
            <w:r w:rsidRPr="00332EE0">
              <w:rPr>
                <w:rFonts w:ascii="Calibri" w:eastAsia="Times New Roman" w:hAnsi="Calibri" w:cs="Calibri"/>
                <w:color w:val="000000"/>
                <w:sz w:val="18"/>
                <w:szCs w:val="18"/>
                <w:lang w:eastAsia="sk-SK"/>
              </w:rPr>
              <w:t>4,8</w:t>
            </w:r>
          </w:p>
        </w:tc>
      </w:tr>
      <w:tr w:rsidR="00332EE0" w:rsidRPr="00332EE0" w14:paraId="5A9060DE" w14:textId="77777777" w:rsidTr="003D37BF">
        <w:trPr>
          <w:trHeight w:val="165"/>
        </w:trPr>
        <w:tc>
          <w:tcPr>
            <w:tcW w:w="9038" w:type="dxa"/>
            <w:gridSpan w:val="2"/>
            <w:tcBorders>
              <w:top w:val="single" w:sz="4" w:space="0" w:color="auto"/>
              <w:left w:val="single" w:sz="8" w:space="0" w:color="auto"/>
              <w:bottom w:val="single" w:sz="8" w:space="0" w:color="auto"/>
              <w:right w:val="single" w:sz="8" w:space="0" w:color="000000"/>
            </w:tcBorders>
            <w:shd w:val="clear" w:color="000000" w:fill="000000"/>
            <w:noWrap/>
            <w:vAlign w:val="bottom"/>
            <w:hideMark/>
          </w:tcPr>
          <w:p w14:paraId="51CDADC6" w14:textId="77777777" w:rsidR="00332EE0" w:rsidRPr="00332EE0" w:rsidRDefault="00332EE0" w:rsidP="00332EE0">
            <w:pPr>
              <w:spacing w:after="0" w:line="240" w:lineRule="auto"/>
              <w:jc w:val="center"/>
              <w:rPr>
                <w:rFonts w:ascii="Calibri" w:eastAsia="Times New Roman" w:hAnsi="Calibri" w:cs="Calibri"/>
                <w:color w:val="000000"/>
                <w:sz w:val="18"/>
                <w:szCs w:val="18"/>
                <w:lang w:eastAsia="sk-SK"/>
              </w:rPr>
            </w:pPr>
            <w:r w:rsidRPr="00332EE0">
              <w:rPr>
                <w:rFonts w:ascii="Calibri" w:eastAsia="Times New Roman" w:hAnsi="Calibri" w:cs="Calibri"/>
                <w:color w:val="000000"/>
                <w:sz w:val="18"/>
                <w:szCs w:val="18"/>
                <w:lang w:eastAsia="sk-SK"/>
              </w:rPr>
              <w:t> </w:t>
            </w:r>
          </w:p>
        </w:tc>
      </w:tr>
      <w:tr w:rsidR="00332EE0" w:rsidRPr="00332EE0" w14:paraId="24D4FB7D" w14:textId="77777777" w:rsidTr="003D37BF">
        <w:trPr>
          <w:trHeight w:val="450"/>
        </w:trPr>
        <w:tc>
          <w:tcPr>
            <w:tcW w:w="9038" w:type="dxa"/>
            <w:gridSpan w:val="2"/>
            <w:tcBorders>
              <w:top w:val="single" w:sz="8" w:space="0" w:color="auto"/>
              <w:left w:val="single" w:sz="8" w:space="0" w:color="auto"/>
              <w:bottom w:val="single" w:sz="4" w:space="0" w:color="auto"/>
              <w:right w:val="single" w:sz="8" w:space="0" w:color="000000"/>
            </w:tcBorders>
            <w:shd w:val="clear" w:color="000000" w:fill="D0CECE"/>
            <w:vAlign w:val="center"/>
            <w:hideMark/>
          </w:tcPr>
          <w:p w14:paraId="6FE0F99D" w14:textId="77777777" w:rsidR="00332EE0" w:rsidRPr="00332EE0" w:rsidRDefault="00332EE0" w:rsidP="00332EE0">
            <w:pPr>
              <w:spacing w:after="0" w:line="240" w:lineRule="auto"/>
              <w:jc w:val="center"/>
              <w:rPr>
                <w:rFonts w:ascii="Calibri" w:eastAsia="Times New Roman" w:hAnsi="Calibri" w:cs="Calibri"/>
                <w:color w:val="000000"/>
                <w:sz w:val="18"/>
                <w:szCs w:val="18"/>
                <w:lang w:eastAsia="sk-SK"/>
              </w:rPr>
            </w:pPr>
            <w:r w:rsidRPr="00332EE0">
              <w:rPr>
                <w:rFonts w:ascii="Calibri" w:eastAsia="Times New Roman" w:hAnsi="Calibri" w:cs="Calibri"/>
                <w:color w:val="000000"/>
                <w:sz w:val="18"/>
                <w:szCs w:val="18"/>
                <w:lang w:eastAsia="sk-SK"/>
              </w:rPr>
              <w:t xml:space="preserve">Scenáre zmeny teploty vzduchu v °C v porovnaní s obd. 1961-1990 pre Telgárt - </w:t>
            </w:r>
            <w:r w:rsidRPr="00332EE0">
              <w:rPr>
                <w:rFonts w:ascii="Calibri" w:eastAsia="Times New Roman" w:hAnsi="Calibri" w:cs="Calibri"/>
                <w:b/>
                <w:bCs/>
                <w:color w:val="000000"/>
                <w:sz w:val="18"/>
                <w:szCs w:val="18"/>
                <w:lang w:eastAsia="sk-SK"/>
              </w:rPr>
              <w:t>model KNMI</w:t>
            </w:r>
          </w:p>
        </w:tc>
      </w:tr>
      <w:tr w:rsidR="00332EE0" w:rsidRPr="00332EE0" w14:paraId="02F818A9" w14:textId="77777777" w:rsidTr="003D37BF">
        <w:trPr>
          <w:trHeight w:val="142"/>
        </w:trPr>
        <w:tc>
          <w:tcPr>
            <w:tcW w:w="2458" w:type="dxa"/>
            <w:tcBorders>
              <w:top w:val="nil"/>
              <w:left w:val="single" w:sz="8" w:space="0" w:color="auto"/>
              <w:bottom w:val="single" w:sz="4" w:space="0" w:color="auto"/>
              <w:right w:val="single" w:sz="4" w:space="0" w:color="auto"/>
            </w:tcBorders>
            <w:shd w:val="clear" w:color="auto" w:fill="auto"/>
            <w:noWrap/>
            <w:vAlign w:val="bottom"/>
            <w:hideMark/>
          </w:tcPr>
          <w:p w14:paraId="19C0C334" w14:textId="77777777" w:rsidR="00332EE0" w:rsidRPr="00332EE0" w:rsidRDefault="00332EE0" w:rsidP="00332EE0">
            <w:pPr>
              <w:spacing w:after="0" w:line="240" w:lineRule="auto"/>
              <w:jc w:val="center"/>
              <w:rPr>
                <w:rFonts w:ascii="Calibri" w:eastAsia="Times New Roman" w:hAnsi="Calibri" w:cs="Calibri"/>
                <w:color w:val="000000"/>
                <w:sz w:val="18"/>
                <w:szCs w:val="18"/>
                <w:lang w:eastAsia="sk-SK"/>
              </w:rPr>
            </w:pPr>
            <w:r w:rsidRPr="00332EE0">
              <w:rPr>
                <w:rFonts w:ascii="Calibri" w:eastAsia="Times New Roman" w:hAnsi="Calibri" w:cs="Calibri"/>
                <w:color w:val="000000"/>
                <w:sz w:val="18"/>
                <w:szCs w:val="18"/>
                <w:lang w:eastAsia="sk-SK"/>
              </w:rPr>
              <w:t>horizont</w:t>
            </w:r>
          </w:p>
        </w:tc>
        <w:tc>
          <w:tcPr>
            <w:tcW w:w="6580" w:type="dxa"/>
            <w:tcBorders>
              <w:top w:val="nil"/>
              <w:left w:val="nil"/>
              <w:bottom w:val="single" w:sz="4" w:space="0" w:color="auto"/>
              <w:right w:val="single" w:sz="8" w:space="0" w:color="auto"/>
            </w:tcBorders>
            <w:shd w:val="clear" w:color="auto" w:fill="auto"/>
            <w:noWrap/>
            <w:vAlign w:val="bottom"/>
            <w:hideMark/>
          </w:tcPr>
          <w:p w14:paraId="130D5EBC" w14:textId="77777777" w:rsidR="00332EE0" w:rsidRPr="00332EE0" w:rsidRDefault="00332EE0" w:rsidP="00332EE0">
            <w:pPr>
              <w:spacing w:after="0" w:line="240" w:lineRule="auto"/>
              <w:jc w:val="center"/>
              <w:rPr>
                <w:rFonts w:ascii="Calibri" w:eastAsia="Times New Roman" w:hAnsi="Calibri" w:cs="Calibri"/>
                <w:color w:val="000000"/>
                <w:sz w:val="18"/>
                <w:szCs w:val="18"/>
                <w:lang w:eastAsia="sk-SK"/>
              </w:rPr>
            </w:pPr>
            <w:r w:rsidRPr="00332EE0">
              <w:rPr>
                <w:rFonts w:ascii="Calibri" w:eastAsia="Times New Roman" w:hAnsi="Calibri" w:cs="Calibri"/>
                <w:color w:val="000000"/>
                <w:sz w:val="18"/>
                <w:szCs w:val="18"/>
                <w:lang w:eastAsia="sk-SK"/>
              </w:rPr>
              <w:t>nárast ročného priemeru v °C</w:t>
            </w:r>
          </w:p>
        </w:tc>
      </w:tr>
      <w:tr w:rsidR="00332EE0" w:rsidRPr="00332EE0" w14:paraId="72D9128F" w14:textId="77777777" w:rsidTr="009C4865">
        <w:trPr>
          <w:trHeight w:val="184"/>
        </w:trPr>
        <w:tc>
          <w:tcPr>
            <w:tcW w:w="2458" w:type="dxa"/>
            <w:tcBorders>
              <w:top w:val="nil"/>
              <w:left w:val="single" w:sz="8" w:space="0" w:color="auto"/>
              <w:bottom w:val="single" w:sz="4" w:space="0" w:color="auto"/>
              <w:right w:val="single" w:sz="4" w:space="0" w:color="auto"/>
            </w:tcBorders>
            <w:shd w:val="clear" w:color="000000" w:fill="FFFF00"/>
            <w:noWrap/>
            <w:vAlign w:val="bottom"/>
            <w:hideMark/>
          </w:tcPr>
          <w:p w14:paraId="02D6AE04" w14:textId="77777777" w:rsidR="00332EE0" w:rsidRPr="00332EE0" w:rsidRDefault="00332EE0" w:rsidP="00332EE0">
            <w:pPr>
              <w:spacing w:after="0" w:line="240" w:lineRule="auto"/>
              <w:jc w:val="center"/>
              <w:rPr>
                <w:rFonts w:ascii="Calibri" w:eastAsia="Times New Roman" w:hAnsi="Calibri" w:cs="Calibri"/>
                <w:color w:val="000000"/>
                <w:sz w:val="18"/>
                <w:szCs w:val="18"/>
                <w:lang w:eastAsia="sk-SK"/>
              </w:rPr>
            </w:pPr>
            <w:r w:rsidRPr="00332EE0">
              <w:rPr>
                <w:rFonts w:ascii="Calibri" w:eastAsia="Times New Roman" w:hAnsi="Calibri" w:cs="Calibri"/>
                <w:color w:val="000000"/>
                <w:sz w:val="18"/>
                <w:szCs w:val="18"/>
                <w:lang w:eastAsia="sk-SK"/>
              </w:rPr>
              <w:t>2025</w:t>
            </w:r>
          </w:p>
        </w:tc>
        <w:tc>
          <w:tcPr>
            <w:tcW w:w="6580" w:type="dxa"/>
            <w:tcBorders>
              <w:top w:val="nil"/>
              <w:left w:val="nil"/>
              <w:bottom w:val="single" w:sz="4" w:space="0" w:color="auto"/>
              <w:right w:val="single" w:sz="8" w:space="0" w:color="auto"/>
            </w:tcBorders>
            <w:shd w:val="clear" w:color="auto" w:fill="FFFF00"/>
            <w:noWrap/>
            <w:vAlign w:val="bottom"/>
            <w:hideMark/>
          </w:tcPr>
          <w:p w14:paraId="00DE7FCA" w14:textId="77777777" w:rsidR="00332EE0" w:rsidRPr="00332EE0" w:rsidRDefault="00332EE0" w:rsidP="00332EE0">
            <w:pPr>
              <w:spacing w:after="0" w:line="240" w:lineRule="auto"/>
              <w:jc w:val="center"/>
              <w:rPr>
                <w:rFonts w:ascii="Calibri" w:eastAsia="Times New Roman" w:hAnsi="Calibri" w:cs="Calibri"/>
                <w:color w:val="000000"/>
                <w:sz w:val="18"/>
                <w:szCs w:val="18"/>
                <w:lang w:eastAsia="sk-SK"/>
              </w:rPr>
            </w:pPr>
            <w:r w:rsidRPr="00332EE0">
              <w:rPr>
                <w:rFonts w:ascii="Calibri" w:eastAsia="Times New Roman" w:hAnsi="Calibri" w:cs="Calibri"/>
                <w:color w:val="000000"/>
                <w:sz w:val="18"/>
                <w:szCs w:val="18"/>
                <w:lang w:eastAsia="sk-SK"/>
              </w:rPr>
              <w:t>0,66</w:t>
            </w:r>
          </w:p>
        </w:tc>
      </w:tr>
      <w:tr w:rsidR="00332EE0" w:rsidRPr="00332EE0" w14:paraId="791352C0" w14:textId="77777777" w:rsidTr="009C4865">
        <w:trPr>
          <w:trHeight w:val="184"/>
        </w:trPr>
        <w:tc>
          <w:tcPr>
            <w:tcW w:w="2458" w:type="dxa"/>
            <w:tcBorders>
              <w:top w:val="nil"/>
              <w:left w:val="single" w:sz="8" w:space="0" w:color="auto"/>
              <w:bottom w:val="single" w:sz="4" w:space="0" w:color="auto"/>
              <w:right w:val="single" w:sz="4" w:space="0" w:color="auto"/>
            </w:tcBorders>
            <w:shd w:val="clear" w:color="000000" w:fill="FFC000"/>
            <w:noWrap/>
            <w:vAlign w:val="bottom"/>
            <w:hideMark/>
          </w:tcPr>
          <w:p w14:paraId="0CA9FAA5" w14:textId="77777777" w:rsidR="00332EE0" w:rsidRPr="00332EE0" w:rsidRDefault="00332EE0" w:rsidP="00332EE0">
            <w:pPr>
              <w:spacing w:after="0" w:line="240" w:lineRule="auto"/>
              <w:jc w:val="center"/>
              <w:rPr>
                <w:rFonts w:ascii="Calibri" w:eastAsia="Times New Roman" w:hAnsi="Calibri" w:cs="Calibri"/>
                <w:color w:val="000000"/>
                <w:sz w:val="18"/>
                <w:szCs w:val="18"/>
                <w:lang w:eastAsia="sk-SK"/>
              </w:rPr>
            </w:pPr>
            <w:r w:rsidRPr="00332EE0">
              <w:rPr>
                <w:rFonts w:ascii="Calibri" w:eastAsia="Times New Roman" w:hAnsi="Calibri" w:cs="Calibri"/>
                <w:color w:val="000000"/>
                <w:sz w:val="18"/>
                <w:szCs w:val="18"/>
                <w:lang w:eastAsia="sk-SK"/>
              </w:rPr>
              <w:t>2040</w:t>
            </w:r>
          </w:p>
        </w:tc>
        <w:tc>
          <w:tcPr>
            <w:tcW w:w="6580" w:type="dxa"/>
            <w:tcBorders>
              <w:top w:val="nil"/>
              <w:left w:val="nil"/>
              <w:bottom w:val="single" w:sz="4" w:space="0" w:color="auto"/>
              <w:right w:val="single" w:sz="8" w:space="0" w:color="auto"/>
            </w:tcBorders>
            <w:shd w:val="clear" w:color="auto" w:fill="FFC000"/>
            <w:noWrap/>
            <w:vAlign w:val="bottom"/>
            <w:hideMark/>
          </w:tcPr>
          <w:p w14:paraId="70013320" w14:textId="77777777" w:rsidR="00332EE0" w:rsidRPr="00332EE0" w:rsidRDefault="00332EE0" w:rsidP="00332EE0">
            <w:pPr>
              <w:spacing w:after="0" w:line="240" w:lineRule="auto"/>
              <w:jc w:val="center"/>
              <w:rPr>
                <w:rFonts w:ascii="Calibri" w:eastAsia="Times New Roman" w:hAnsi="Calibri" w:cs="Calibri"/>
                <w:color w:val="000000"/>
                <w:sz w:val="18"/>
                <w:szCs w:val="18"/>
                <w:lang w:eastAsia="sk-SK"/>
              </w:rPr>
            </w:pPr>
            <w:r w:rsidRPr="00332EE0">
              <w:rPr>
                <w:rFonts w:ascii="Calibri" w:eastAsia="Times New Roman" w:hAnsi="Calibri" w:cs="Calibri"/>
                <w:color w:val="000000"/>
                <w:sz w:val="18"/>
                <w:szCs w:val="18"/>
                <w:lang w:eastAsia="sk-SK"/>
              </w:rPr>
              <w:t>1,155</w:t>
            </w:r>
          </w:p>
        </w:tc>
      </w:tr>
      <w:tr w:rsidR="00332EE0" w:rsidRPr="00332EE0" w14:paraId="5A42DD43" w14:textId="77777777" w:rsidTr="009C4865">
        <w:trPr>
          <w:trHeight w:val="184"/>
        </w:trPr>
        <w:tc>
          <w:tcPr>
            <w:tcW w:w="2458" w:type="dxa"/>
            <w:tcBorders>
              <w:top w:val="nil"/>
              <w:left w:val="single" w:sz="8" w:space="0" w:color="auto"/>
              <w:bottom w:val="single" w:sz="8" w:space="0" w:color="auto"/>
              <w:right w:val="single" w:sz="4" w:space="0" w:color="auto"/>
            </w:tcBorders>
            <w:shd w:val="clear" w:color="000000" w:fill="ED7D31"/>
            <w:noWrap/>
            <w:vAlign w:val="bottom"/>
            <w:hideMark/>
          </w:tcPr>
          <w:p w14:paraId="755A80F7" w14:textId="77777777" w:rsidR="00332EE0" w:rsidRPr="00332EE0" w:rsidRDefault="00332EE0" w:rsidP="00332EE0">
            <w:pPr>
              <w:spacing w:after="0" w:line="240" w:lineRule="auto"/>
              <w:jc w:val="center"/>
              <w:rPr>
                <w:rFonts w:ascii="Calibri" w:eastAsia="Times New Roman" w:hAnsi="Calibri" w:cs="Calibri"/>
                <w:color w:val="000000"/>
                <w:sz w:val="18"/>
                <w:szCs w:val="18"/>
                <w:lang w:eastAsia="sk-SK"/>
              </w:rPr>
            </w:pPr>
            <w:r w:rsidRPr="00332EE0">
              <w:rPr>
                <w:rFonts w:ascii="Calibri" w:eastAsia="Times New Roman" w:hAnsi="Calibri" w:cs="Calibri"/>
                <w:color w:val="000000"/>
                <w:sz w:val="18"/>
                <w:szCs w:val="18"/>
                <w:lang w:eastAsia="sk-SK"/>
              </w:rPr>
              <w:t>2050</w:t>
            </w:r>
          </w:p>
        </w:tc>
        <w:tc>
          <w:tcPr>
            <w:tcW w:w="6580" w:type="dxa"/>
            <w:tcBorders>
              <w:top w:val="nil"/>
              <w:left w:val="nil"/>
              <w:bottom w:val="single" w:sz="8" w:space="0" w:color="auto"/>
              <w:right w:val="single" w:sz="8" w:space="0" w:color="auto"/>
            </w:tcBorders>
            <w:shd w:val="clear" w:color="auto" w:fill="ED7D31" w:themeFill="accent2"/>
            <w:noWrap/>
            <w:vAlign w:val="bottom"/>
            <w:hideMark/>
          </w:tcPr>
          <w:p w14:paraId="2C126F41" w14:textId="77777777" w:rsidR="00332EE0" w:rsidRPr="00332EE0" w:rsidRDefault="00332EE0" w:rsidP="00332EE0">
            <w:pPr>
              <w:spacing w:after="0" w:line="240" w:lineRule="auto"/>
              <w:jc w:val="center"/>
              <w:rPr>
                <w:rFonts w:ascii="Calibri" w:eastAsia="Times New Roman" w:hAnsi="Calibri" w:cs="Calibri"/>
                <w:color w:val="000000"/>
                <w:sz w:val="18"/>
                <w:szCs w:val="18"/>
                <w:lang w:eastAsia="sk-SK"/>
              </w:rPr>
            </w:pPr>
            <w:r w:rsidRPr="00332EE0">
              <w:rPr>
                <w:rFonts w:ascii="Calibri" w:eastAsia="Times New Roman" w:hAnsi="Calibri" w:cs="Calibri"/>
                <w:color w:val="000000"/>
                <w:sz w:val="18"/>
                <w:szCs w:val="18"/>
                <w:lang w:eastAsia="sk-SK"/>
              </w:rPr>
              <w:t>1,65</w:t>
            </w:r>
          </w:p>
        </w:tc>
      </w:tr>
      <w:tr w:rsidR="00332EE0" w:rsidRPr="00332EE0" w14:paraId="7B997931" w14:textId="77777777" w:rsidTr="003D37BF">
        <w:trPr>
          <w:trHeight w:val="450"/>
        </w:trPr>
        <w:tc>
          <w:tcPr>
            <w:tcW w:w="9038" w:type="dxa"/>
            <w:gridSpan w:val="2"/>
            <w:tcBorders>
              <w:top w:val="single" w:sz="8" w:space="0" w:color="auto"/>
              <w:left w:val="single" w:sz="8" w:space="0" w:color="auto"/>
              <w:bottom w:val="single" w:sz="4" w:space="0" w:color="auto"/>
              <w:right w:val="single" w:sz="8" w:space="0" w:color="000000"/>
            </w:tcBorders>
            <w:shd w:val="clear" w:color="000000" w:fill="D0CECE"/>
            <w:vAlign w:val="center"/>
            <w:hideMark/>
          </w:tcPr>
          <w:p w14:paraId="522F4C93" w14:textId="77777777" w:rsidR="00332EE0" w:rsidRPr="00332EE0" w:rsidRDefault="00332EE0" w:rsidP="00332EE0">
            <w:pPr>
              <w:spacing w:after="0" w:line="240" w:lineRule="auto"/>
              <w:jc w:val="center"/>
              <w:rPr>
                <w:rFonts w:ascii="Calibri" w:eastAsia="Times New Roman" w:hAnsi="Calibri" w:cs="Calibri"/>
                <w:color w:val="000000"/>
                <w:sz w:val="18"/>
                <w:szCs w:val="18"/>
                <w:lang w:eastAsia="sk-SK"/>
              </w:rPr>
            </w:pPr>
            <w:r w:rsidRPr="00332EE0">
              <w:rPr>
                <w:rFonts w:ascii="Calibri" w:eastAsia="Times New Roman" w:hAnsi="Calibri" w:cs="Calibri"/>
                <w:color w:val="000000"/>
                <w:sz w:val="18"/>
                <w:szCs w:val="18"/>
                <w:lang w:eastAsia="sk-SK"/>
              </w:rPr>
              <w:t xml:space="preserve">Scenáre zmeny teploty vzduchu v °C v porovnaní s obd. 1961-1990 pre Telgárt - </w:t>
            </w:r>
            <w:r w:rsidRPr="00332EE0">
              <w:rPr>
                <w:rFonts w:ascii="Calibri" w:eastAsia="Times New Roman" w:hAnsi="Calibri" w:cs="Calibri"/>
                <w:b/>
                <w:bCs/>
                <w:color w:val="000000"/>
                <w:sz w:val="18"/>
                <w:szCs w:val="18"/>
                <w:lang w:eastAsia="sk-SK"/>
              </w:rPr>
              <w:t>model CGCM3.1,A2</w:t>
            </w:r>
          </w:p>
        </w:tc>
      </w:tr>
      <w:tr w:rsidR="00332EE0" w:rsidRPr="00332EE0" w14:paraId="1A0632DD" w14:textId="77777777" w:rsidTr="003D37BF">
        <w:trPr>
          <w:trHeight w:val="142"/>
        </w:trPr>
        <w:tc>
          <w:tcPr>
            <w:tcW w:w="2458" w:type="dxa"/>
            <w:tcBorders>
              <w:top w:val="nil"/>
              <w:left w:val="single" w:sz="8" w:space="0" w:color="auto"/>
              <w:bottom w:val="single" w:sz="4" w:space="0" w:color="auto"/>
              <w:right w:val="single" w:sz="4" w:space="0" w:color="auto"/>
            </w:tcBorders>
            <w:shd w:val="clear" w:color="auto" w:fill="auto"/>
            <w:noWrap/>
            <w:vAlign w:val="bottom"/>
            <w:hideMark/>
          </w:tcPr>
          <w:p w14:paraId="49CB4C2E" w14:textId="77777777" w:rsidR="00332EE0" w:rsidRPr="00332EE0" w:rsidRDefault="00332EE0" w:rsidP="00332EE0">
            <w:pPr>
              <w:spacing w:after="0" w:line="240" w:lineRule="auto"/>
              <w:jc w:val="center"/>
              <w:rPr>
                <w:rFonts w:ascii="Calibri" w:eastAsia="Times New Roman" w:hAnsi="Calibri" w:cs="Calibri"/>
                <w:color w:val="000000"/>
                <w:sz w:val="18"/>
                <w:szCs w:val="18"/>
                <w:lang w:eastAsia="sk-SK"/>
              </w:rPr>
            </w:pPr>
            <w:r w:rsidRPr="00332EE0">
              <w:rPr>
                <w:rFonts w:ascii="Calibri" w:eastAsia="Times New Roman" w:hAnsi="Calibri" w:cs="Calibri"/>
                <w:color w:val="000000"/>
                <w:sz w:val="18"/>
                <w:szCs w:val="18"/>
                <w:lang w:eastAsia="sk-SK"/>
              </w:rPr>
              <w:t>horizont</w:t>
            </w:r>
          </w:p>
        </w:tc>
        <w:tc>
          <w:tcPr>
            <w:tcW w:w="6580" w:type="dxa"/>
            <w:tcBorders>
              <w:top w:val="nil"/>
              <w:left w:val="nil"/>
              <w:bottom w:val="single" w:sz="4" w:space="0" w:color="auto"/>
              <w:right w:val="single" w:sz="8" w:space="0" w:color="auto"/>
            </w:tcBorders>
            <w:shd w:val="clear" w:color="auto" w:fill="auto"/>
            <w:noWrap/>
            <w:vAlign w:val="bottom"/>
            <w:hideMark/>
          </w:tcPr>
          <w:p w14:paraId="17365276" w14:textId="77777777" w:rsidR="00332EE0" w:rsidRPr="00332EE0" w:rsidRDefault="00332EE0" w:rsidP="00332EE0">
            <w:pPr>
              <w:spacing w:after="0" w:line="240" w:lineRule="auto"/>
              <w:jc w:val="center"/>
              <w:rPr>
                <w:rFonts w:ascii="Calibri" w:eastAsia="Times New Roman" w:hAnsi="Calibri" w:cs="Calibri"/>
                <w:color w:val="000000"/>
                <w:sz w:val="18"/>
                <w:szCs w:val="18"/>
                <w:lang w:eastAsia="sk-SK"/>
              </w:rPr>
            </w:pPr>
            <w:r w:rsidRPr="00332EE0">
              <w:rPr>
                <w:rFonts w:ascii="Calibri" w:eastAsia="Times New Roman" w:hAnsi="Calibri" w:cs="Calibri"/>
                <w:color w:val="000000"/>
                <w:sz w:val="18"/>
                <w:szCs w:val="18"/>
                <w:lang w:eastAsia="sk-SK"/>
              </w:rPr>
              <w:t>nárast ročného priemeru v °C</w:t>
            </w:r>
          </w:p>
        </w:tc>
      </w:tr>
      <w:tr w:rsidR="00332EE0" w:rsidRPr="00332EE0" w14:paraId="76681AF5" w14:textId="77777777" w:rsidTr="009C4865">
        <w:trPr>
          <w:trHeight w:val="184"/>
        </w:trPr>
        <w:tc>
          <w:tcPr>
            <w:tcW w:w="2458" w:type="dxa"/>
            <w:tcBorders>
              <w:top w:val="nil"/>
              <w:left w:val="single" w:sz="8" w:space="0" w:color="auto"/>
              <w:bottom w:val="single" w:sz="4" w:space="0" w:color="auto"/>
              <w:right w:val="single" w:sz="4" w:space="0" w:color="auto"/>
            </w:tcBorders>
            <w:shd w:val="clear" w:color="000000" w:fill="FFFF00"/>
            <w:noWrap/>
            <w:vAlign w:val="bottom"/>
            <w:hideMark/>
          </w:tcPr>
          <w:p w14:paraId="7ADA1263" w14:textId="77777777" w:rsidR="00332EE0" w:rsidRPr="00332EE0" w:rsidRDefault="00332EE0" w:rsidP="00332EE0">
            <w:pPr>
              <w:spacing w:after="0" w:line="240" w:lineRule="auto"/>
              <w:jc w:val="center"/>
              <w:rPr>
                <w:rFonts w:ascii="Calibri" w:eastAsia="Times New Roman" w:hAnsi="Calibri" w:cs="Calibri"/>
                <w:color w:val="000000"/>
                <w:sz w:val="18"/>
                <w:szCs w:val="18"/>
                <w:lang w:eastAsia="sk-SK"/>
              </w:rPr>
            </w:pPr>
            <w:r w:rsidRPr="00332EE0">
              <w:rPr>
                <w:rFonts w:ascii="Calibri" w:eastAsia="Times New Roman" w:hAnsi="Calibri" w:cs="Calibri"/>
                <w:color w:val="000000"/>
                <w:sz w:val="18"/>
                <w:szCs w:val="18"/>
                <w:lang w:eastAsia="sk-SK"/>
              </w:rPr>
              <w:t>2025</w:t>
            </w:r>
          </w:p>
        </w:tc>
        <w:tc>
          <w:tcPr>
            <w:tcW w:w="6580" w:type="dxa"/>
            <w:tcBorders>
              <w:top w:val="nil"/>
              <w:left w:val="nil"/>
              <w:bottom w:val="single" w:sz="4" w:space="0" w:color="auto"/>
              <w:right w:val="single" w:sz="8" w:space="0" w:color="auto"/>
            </w:tcBorders>
            <w:shd w:val="clear" w:color="auto" w:fill="FFFF00"/>
            <w:noWrap/>
            <w:vAlign w:val="bottom"/>
            <w:hideMark/>
          </w:tcPr>
          <w:p w14:paraId="1B005275" w14:textId="0D7C9310" w:rsidR="00332EE0" w:rsidRPr="00332EE0" w:rsidRDefault="003D37BF" w:rsidP="00332EE0">
            <w:pPr>
              <w:spacing w:after="0" w:line="240" w:lineRule="auto"/>
              <w:jc w:val="center"/>
              <w:rPr>
                <w:rFonts w:ascii="Calibri" w:eastAsia="Times New Roman" w:hAnsi="Calibri" w:cs="Calibri"/>
                <w:color w:val="000000"/>
                <w:sz w:val="18"/>
                <w:szCs w:val="18"/>
                <w:lang w:eastAsia="sk-SK"/>
              </w:rPr>
            </w:pPr>
            <w:r>
              <w:rPr>
                <w:rFonts w:ascii="Calibri" w:eastAsia="Times New Roman" w:hAnsi="Calibri" w:cs="Calibri"/>
                <w:color w:val="000000"/>
                <w:sz w:val="18"/>
                <w:szCs w:val="18"/>
                <w:lang w:eastAsia="sk-SK"/>
              </w:rPr>
              <w:t>1,34</w:t>
            </w:r>
          </w:p>
        </w:tc>
      </w:tr>
      <w:tr w:rsidR="00332EE0" w:rsidRPr="00332EE0" w14:paraId="383FEA05" w14:textId="77777777" w:rsidTr="009C4865">
        <w:trPr>
          <w:trHeight w:val="173"/>
        </w:trPr>
        <w:tc>
          <w:tcPr>
            <w:tcW w:w="2458" w:type="dxa"/>
            <w:tcBorders>
              <w:top w:val="nil"/>
              <w:left w:val="single" w:sz="8" w:space="0" w:color="auto"/>
              <w:bottom w:val="single" w:sz="4" w:space="0" w:color="auto"/>
              <w:right w:val="single" w:sz="4" w:space="0" w:color="auto"/>
            </w:tcBorders>
            <w:shd w:val="clear" w:color="000000" w:fill="FFC000"/>
            <w:noWrap/>
            <w:vAlign w:val="bottom"/>
            <w:hideMark/>
          </w:tcPr>
          <w:p w14:paraId="12DF1BA6" w14:textId="77777777" w:rsidR="00332EE0" w:rsidRPr="00332EE0" w:rsidRDefault="00332EE0" w:rsidP="00332EE0">
            <w:pPr>
              <w:spacing w:after="0" w:line="240" w:lineRule="auto"/>
              <w:jc w:val="center"/>
              <w:rPr>
                <w:rFonts w:ascii="Calibri" w:eastAsia="Times New Roman" w:hAnsi="Calibri" w:cs="Calibri"/>
                <w:color w:val="000000"/>
                <w:sz w:val="18"/>
                <w:szCs w:val="18"/>
                <w:lang w:eastAsia="sk-SK"/>
              </w:rPr>
            </w:pPr>
            <w:r w:rsidRPr="00332EE0">
              <w:rPr>
                <w:rFonts w:ascii="Calibri" w:eastAsia="Times New Roman" w:hAnsi="Calibri" w:cs="Calibri"/>
                <w:color w:val="000000"/>
                <w:sz w:val="18"/>
                <w:szCs w:val="18"/>
                <w:lang w:eastAsia="sk-SK"/>
              </w:rPr>
              <w:t>2040</w:t>
            </w:r>
          </w:p>
        </w:tc>
        <w:tc>
          <w:tcPr>
            <w:tcW w:w="6580" w:type="dxa"/>
            <w:tcBorders>
              <w:top w:val="nil"/>
              <w:left w:val="nil"/>
              <w:bottom w:val="single" w:sz="4" w:space="0" w:color="auto"/>
              <w:right w:val="single" w:sz="8" w:space="0" w:color="auto"/>
            </w:tcBorders>
            <w:shd w:val="clear" w:color="auto" w:fill="FFC000"/>
            <w:noWrap/>
            <w:vAlign w:val="bottom"/>
            <w:hideMark/>
          </w:tcPr>
          <w:p w14:paraId="14345F7D" w14:textId="47567C0C" w:rsidR="00332EE0" w:rsidRPr="00332EE0" w:rsidRDefault="00332EE0" w:rsidP="00332EE0">
            <w:pPr>
              <w:spacing w:after="0" w:line="240" w:lineRule="auto"/>
              <w:jc w:val="center"/>
              <w:rPr>
                <w:rFonts w:ascii="Calibri" w:eastAsia="Times New Roman" w:hAnsi="Calibri" w:cs="Calibri"/>
                <w:color w:val="000000"/>
                <w:sz w:val="18"/>
                <w:szCs w:val="18"/>
                <w:lang w:eastAsia="sk-SK"/>
              </w:rPr>
            </w:pPr>
            <w:r w:rsidRPr="00332EE0">
              <w:rPr>
                <w:rFonts w:ascii="Calibri" w:eastAsia="Times New Roman" w:hAnsi="Calibri" w:cs="Calibri"/>
                <w:color w:val="000000"/>
                <w:sz w:val="18"/>
                <w:szCs w:val="18"/>
                <w:lang w:eastAsia="sk-SK"/>
              </w:rPr>
              <w:t>1,</w:t>
            </w:r>
            <w:r w:rsidR="003D37BF">
              <w:rPr>
                <w:rFonts w:ascii="Calibri" w:eastAsia="Times New Roman" w:hAnsi="Calibri" w:cs="Calibri"/>
                <w:color w:val="000000"/>
                <w:sz w:val="18"/>
                <w:szCs w:val="18"/>
                <w:lang w:eastAsia="sk-SK"/>
              </w:rPr>
              <w:t>685</w:t>
            </w:r>
          </w:p>
        </w:tc>
      </w:tr>
      <w:tr w:rsidR="00332EE0" w:rsidRPr="00332EE0" w14:paraId="0C3267BF" w14:textId="77777777" w:rsidTr="009C4865">
        <w:trPr>
          <w:trHeight w:val="173"/>
        </w:trPr>
        <w:tc>
          <w:tcPr>
            <w:tcW w:w="2458" w:type="dxa"/>
            <w:tcBorders>
              <w:top w:val="nil"/>
              <w:left w:val="single" w:sz="8" w:space="0" w:color="auto"/>
              <w:bottom w:val="single" w:sz="8" w:space="0" w:color="auto"/>
              <w:right w:val="single" w:sz="4" w:space="0" w:color="auto"/>
            </w:tcBorders>
            <w:shd w:val="clear" w:color="000000" w:fill="ED7D31"/>
            <w:noWrap/>
            <w:vAlign w:val="bottom"/>
            <w:hideMark/>
          </w:tcPr>
          <w:p w14:paraId="070190B8" w14:textId="77777777" w:rsidR="00332EE0" w:rsidRPr="00332EE0" w:rsidRDefault="00332EE0" w:rsidP="00332EE0">
            <w:pPr>
              <w:spacing w:after="0" w:line="240" w:lineRule="auto"/>
              <w:jc w:val="center"/>
              <w:rPr>
                <w:rFonts w:ascii="Calibri" w:eastAsia="Times New Roman" w:hAnsi="Calibri" w:cs="Calibri"/>
                <w:color w:val="000000"/>
                <w:sz w:val="18"/>
                <w:szCs w:val="18"/>
                <w:lang w:eastAsia="sk-SK"/>
              </w:rPr>
            </w:pPr>
            <w:r w:rsidRPr="00332EE0">
              <w:rPr>
                <w:rFonts w:ascii="Calibri" w:eastAsia="Times New Roman" w:hAnsi="Calibri" w:cs="Calibri"/>
                <w:color w:val="000000"/>
                <w:sz w:val="18"/>
                <w:szCs w:val="18"/>
                <w:lang w:eastAsia="sk-SK"/>
              </w:rPr>
              <w:t>2050</w:t>
            </w:r>
          </w:p>
        </w:tc>
        <w:tc>
          <w:tcPr>
            <w:tcW w:w="6580" w:type="dxa"/>
            <w:tcBorders>
              <w:top w:val="nil"/>
              <w:left w:val="nil"/>
              <w:bottom w:val="single" w:sz="8" w:space="0" w:color="auto"/>
              <w:right w:val="single" w:sz="8" w:space="0" w:color="auto"/>
            </w:tcBorders>
            <w:shd w:val="clear" w:color="auto" w:fill="ED7D31" w:themeFill="accent2"/>
            <w:noWrap/>
            <w:vAlign w:val="bottom"/>
            <w:hideMark/>
          </w:tcPr>
          <w:p w14:paraId="6219A095" w14:textId="0EC2C3A7" w:rsidR="00332EE0" w:rsidRPr="00332EE0" w:rsidRDefault="003D37BF" w:rsidP="009C4865">
            <w:pPr>
              <w:spacing w:after="0" w:line="240" w:lineRule="auto"/>
              <w:jc w:val="center"/>
              <w:rPr>
                <w:rFonts w:ascii="Calibri" w:eastAsia="Times New Roman" w:hAnsi="Calibri" w:cs="Calibri"/>
                <w:color w:val="000000"/>
                <w:sz w:val="18"/>
                <w:szCs w:val="18"/>
                <w:lang w:eastAsia="sk-SK"/>
              </w:rPr>
            </w:pPr>
            <w:r>
              <w:rPr>
                <w:rFonts w:ascii="Calibri" w:eastAsia="Times New Roman" w:hAnsi="Calibri" w:cs="Calibri"/>
                <w:color w:val="000000"/>
                <w:sz w:val="18"/>
                <w:szCs w:val="18"/>
                <w:lang w:eastAsia="sk-SK"/>
              </w:rPr>
              <w:t>2,03</w:t>
            </w:r>
          </w:p>
        </w:tc>
      </w:tr>
      <w:tr w:rsidR="00332EE0" w:rsidRPr="00332EE0" w14:paraId="3F8A26FB" w14:textId="77777777" w:rsidTr="003D37BF">
        <w:trPr>
          <w:trHeight w:val="441"/>
        </w:trPr>
        <w:tc>
          <w:tcPr>
            <w:tcW w:w="9038" w:type="dxa"/>
            <w:gridSpan w:val="2"/>
            <w:tcBorders>
              <w:top w:val="single" w:sz="8" w:space="0" w:color="auto"/>
              <w:left w:val="single" w:sz="8" w:space="0" w:color="auto"/>
              <w:bottom w:val="single" w:sz="4" w:space="0" w:color="auto"/>
              <w:right w:val="single" w:sz="8" w:space="0" w:color="000000"/>
            </w:tcBorders>
            <w:shd w:val="clear" w:color="000000" w:fill="D0CECE"/>
            <w:vAlign w:val="center"/>
            <w:hideMark/>
          </w:tcPr>
          <w:p w14:paraId="04C2C848" w14:textId="77777777" w:rsidR="00332EE0" w:rsidRPr="00332EE0" w:rsidRDefault="00332EE0" w:rsidP="00332EE0">
            <w:pPr>
              <w:spacing w:after="0" w:line="240" w:lineRule="auto"/>
              <w:jc w:val="center"/>
              <w:rPr>
                <w:rFonts w:ascii="Calibri" w:eastAsia="Times New Roman" w:hAnsi="Calibri" w:cs="Calibri"/>
                <w:color w:val="000000"/>
                <w:sz w:val="18"/>
                <w:szCs w:val="18"/>
                <w:lang w:eastAsia="sk-SK"/>
              </w:rPr>
            </w:pPr>
            <w:r w:rsidRPr="00332EE0">
              <w:rPr>
                <w:rFonts w:ascii="Calibri" w:eastAsia="Times New Roman" w:hAnsi="Calibri" w:cs="Calibri"/>
                <w:color w:val="000000"/>
                <w:sz w:val="18"/>
                <w:szCs w:val="18"/>
                <w:lang w:eastAsia="sk-SK"/>
              </w:rPr>
              <w:t xml:space="preserve">Scenáre zmeny teploty vzduchu v °C v porovnaní s obd. 1961-1990 pre Telgárt - </w:t>
            </w:r>
            <w:r w:rsidRPr="00332EE0">
              <w:rPr>
                <w:rFonts w:ascii="Calibri" w:eastAsia="Times New Roman" w:hAnsi="Calibri" w:cs="Calibri"/>
                <w:b/>
                <w:bCs/>
                <w:color w:val="000000"/>
                <w:sz w:val="18"/>
                <w:szCs w:val="18"/>
                <w:lang w:eastAsia="sk-SK"/>
              </w:rPr>
              <w:t>model CGCM3.1,B1</w:t>
            </w:r>
          </w:p>
        </w:tc>
      </w:tr>
      <w:tr w:rsidR="00332EE0" w:rsidRPr="00332EE0" w14:paraId="592A2B6A" w14:textId="77777777" w:rsidTr="003D37BF">
        <w:trPr>
          <w:trHeight w:val="152"/>
        </w:trPr>
        <w:tc>
          <w:tcPr>
            <w:tcW w:w="2458" w:type="dxa"/>
            <w:tcBorders>
              <w:top w:val="nil"/>
              <w:left w:val="single" w:sz="8" w:space="0" w:color="auto"/>
              <w:bottom w:val="single" w:sz="4" w:space="0" w:color="auto"/>
              <w:right w:val="single" w:sz="4" w:space="0" w:color="auto"/>
            </w:tcBorders>
            <w:shd w:val="clear" w:color="auto" w:fill="auto"/>
            <w:noWrap/>
            <w:vAlign w:val="bottom"/>
            <w:hideMark/>
          </w:tcPr>
          <w:p w14:paraId="32064732" w14:textId="77777777" w:rsidR="00332EE0" w:rsidRPr="00332EE0" w:rsidRDefault="00332EE0" w:rsidP="00332EE0">
            <w:pPr>
              <w:spacing w:after="0" w:line="240" w:lineRule="auto"/>
              <w:jc w:val="center"/>
              <w:rPr>
                <w:rFonts w:ascii="Calibri" w:eastAsia="Times New Roman" w:hAnsi="Calibri" w:cs="Calibri"/>
                <w:color w:val="000000"/>
                <w:sz w:val="18"/>
                <w:szCs w:val="18"/>
                <w:lang w:eastAsia="sk-SK"/>
              </w:rPr>
            </w:pPr>
            <w:r w:rsidRPr="00332EE0">
              <w:rPr>
                <w:rFonts w:ascii="Calibri" w:eastAsia="Times New Roman" w:hAnsi="Calibri" w:cs="Calibri"/>
                <w:color w:val="000000"/>
                <w:sz w:val="18"/>
                <w:szCs w:val="18"/>
                <w:lang w:eastAsia="sk-SK"/>
              </w:rPr>
              <w:t>horizont</w:t>
            </w:r>
          </w:p>
        </w:tc>
        <w:tc>
          <w:tcPr>
            <w:tcW w:w="6580" w:type="dxa"/>
            <w:tcBorders>
              <w:top w:val="nil"/>
              <w:left w:val="nil"/>
              <w:bottom w:val="single" w:sz="4" w:space="0" w:color="auto"/>
              <w:right w:val="single" w:sz="8" w:space="0" w:color="auto"/>
            </w:tcBorders>
            <w:shd w:val="clear" w:color="auto" w:fill="auto"/>
            <w:noWrap/>
            <w:vAlign w:val="bottom"/>
            <w:hideMark/>
          </w:tcPr>
          <w:p w14:paraId="35E6251A" w14:textId="77777777" w:rsidR="00332EE0" w:rsidRPr="00332EE0" w:rsidRDefault="00332EE0" w:rsidP="00332EE0">
            <w:pPr>
              <w:spacing w:after="0" w:line="240" w:lineRule="auto"/>
              <w:jc w:val="center"/>
              <w:rPr>
                <w:rFonts w:ascii="Calibri" w:eastAsia="Times New Roman" w:hAnsi="Calibri" w:cs="Calibri"/>
                <w:color w:val="000000"/>
                <w:sz w:val="18"/>
                <w:szCs w:val="18"/>
                <w:lang w:eastAsia="sk-SK"/>
              </w:rPr>
            </w:pPr>
            <w:r w:rsidRPr="00332EE0">
              <w:rPr>
                <w:rFonts w:ascii="Calibri" w:eastAsia="Times New Roman" w:hAnsi="Calibri" w:cs="Calibri"/>
                <w:color w:val="000000"/>
                <w:sz w:val="18"/>
                <w:szCs w:val="18"/>
                <w:lang w:eastAsia="sk-SK"/>
              </w:rPr>
              <w:t>nárast ročného priemeru v °C</w:t>
            </w:r>
          </w:p>
        </w:tc>
      </w:tr>
      <w:tr w:rsidR="00332EE0" w:rsidRPr="00332EE0" w14:paraId="6B83D7D8" w14:textId="77777777" w:rsidTr="009C4865">
        <w:trPr>
          <w:trHeight w:val="184"/>
        </w:trPr>
        <w:tc>
          <w:tcPr>
            <w:tcW w:w="2458" w:type="dxa"/>
            <w:tcBorders>
              <w:top w:val="nil"/>
              <w:left w:val="single" w:sz="8" w:space="0" w:color="auto"/>
              <w:bottom w:val="single" w:sz="4" w:space="0" w:color="auto"/>
              <w:right w:val="single" w:sz="4" w:space="0" w:color="auto"/>
            </w:tcBorders>
            <w:shd w:val="clear" w:color="000000" w:fill="FFFF00"/>
            <w:noWrap/>
            <w:vAlign w:val="bottom"/>
            <w:hideMark/>
          </w:tcPr>
          <w:p w14:paraId="41D05A99" w14:textId="77777777" w:rsidR="00332EE0" w:rsidRPr="00332EE0" w:rsidRDefault="00332EE0" w:rsidP="00332EE0">
            <w:pPr>
              <w:spacing w:after="0" w:line="240" w:lineRule="auto"/>
              <w:jc w:val="center"/>
              <w:rPr>
                <w:rFonts w:ascii="Calibri" w:eastAsia="Times New Roman" w:hAnsi="Calibri" w:cs="Calibri"/>
                <w:color w:val="000000"/>
                <w:sz w:val="18"/>
                <w:szCs w:val="18"/>
                <w:lang w:eastAsia="sk-SK"/>
              </w:rPr>
            </w:pPr>
            <w:r w:rsidRPr="00332EE0">
              <w:rPr>
                <w:rFonts w:ascii="Calibri" w:eastAsia="Times New Roman" w:hAnsi="Calibri" w:cs="Calibri"/>
                <w:color w:val="000000"/>
                <w:sz w:val="18"/>
                <w:szCs w:val="18"/>
                <w:lang w:eastAsia="sk-SK"/>
              </w:rPr>
              <w:t>2025</w:t>
            </w:r>
          </w:p>
        </w:tc>
        <w:tc>
          <w:tcPr>
            <w:tcW w:w="6580" w:type="dxa"/>
            <w:tcBorders>
              <w:top w:val="nil"/>
              <w:left w:val="nil"/>
              <w:bottom w:val="single" w:sz="4" w:space="0" w:color="auto"/>
              <w:right w:val="single" w:sz="8" w:space="0" w:color="auto"/>
            </w:tcBorders>
            <w:shd w:val="clear" w:color="auto" w:fill="FFFF00"/>
            <w:noWrap/>
            <w:vAlign w:val="bottom"/>
            <w:hideMark/>
          </w:tcPr>
          <w:p w14:paraId="7130784B" w14:textId="77777777" w:rsidR="00332EE0" w:rsidRPr="00332EE0" w:rsidRDefault="00332EE0" w:rsidP="00332EE0">
            <w:pPr>
              <w:spacing w:after="0" w:line="240" w:lineRule="auto"/>
              <w:jc w:val="center"/>
              <w:rPr>
                <w:rFonts w:ascii="Calibri" w:eastAsia="Times New Roman" w:hAnsi="Calibri" w:cs="Calibri"/>
                <w:color w:val="000000"/>
                <w:sz w:val="18"/>
                <w:szCs w:val="18"/>
                <w:lang w:eastAsia="sk-SK"/>
              </w:rPr>
            </w:pPr>
            <w:r w:rsidRPr="00332EE0">
              <w:rPr>
                <w:rFonts w:ascii="Calibri" w:eastAsia="Times New Roman" w:hAnsi="Calibri" w:cs="Calibri"/>
                <w:color w:val="000000"/>
                <w:sz w:val="18"/>
                <w:szCs w:val="18"/>
                <w:lang w:eastAsia="sk-SK"/>
              </w:rPr>
              <w:t>1,27</w:t>
            </w:r>
          </w:p>
        </w:tc>
      </w:tr>
      <w:tr w:rsidR="00332EE0" w:rsidRPr="00332EE0" w14:paraId="181E8F19" w14:textId="77777777" w:rsidTr="009C4865">
        <w:trPr>
          <w:trHeight w:val="173"/>
        </w:trPr>
        <w:tc>
          <w:tcPr>
            <w:tcW w:w="2458" w:type="dxa"/>
            <w:tcBorders>
              <w:top w:val="nil"/>
              <w:left w:val="single" w:sz="8" w:space="0" w:color="auto"/>
              <w:bottom w:val="single" w:sz="4" w:space="0" w:color="auto"/>
              <w:right w:val="single" w:sz="4" w:space="0" w:color="auto"/>
            </w:tcBorders>
            <w:shd w:val="clear" w:color="000000" w:fill="FFC000"/>
            <w:noWrap/>
            <w:vAlign w:val="bottom"/>
            <w:hideMark/>
          </w:tcPr>
          <w:p w14:paraId="3BFC6A63" w14:textId="77777777" w:rsidR="00332EE0" w:rsidRPr="00332EE0" w:rsidRDefault="00332EE0" w:rsidP="00332EE0">
            <w:pPr>
              <w:spacing w:after="0" w:line="240" w:lineRule="auto"/>
              <w:jc w:val="center"/>
              <w:rPr>
                <w:rFonts w:ascii="Calibri" w:eastAsia="Times New Roman" w:hAnsi="Calibri" w:cs="Calibri"/>
                <w:color w:val="000000"/>
                <w:sz w:val="18"/>
                <w:szCs w:val="18"/>
                <w:lang w:eastAsia="sk-SK"/>
              </w:rPr>
            </w:pPr>
            <w:r w:rsidRPr="00332EE0">
              <w:rPr>
                <w:rFonts w:ascii="Calibri" w:eastAsia="Times New Roman" w:hAnsi="Calibri" w:cs="Calibri"/>
                <w:color w:val="000000"/>
                <w:sz w:val="18"/>
                <w:szCs w:val="18"/>
                <w:lang w:eastAsia="sk-SK"/>
              </w:rPr>
              <w:t>2040</w:t>
            </w:r>
          </w:p>
        </w:tc>
        <w:tc>
          <w:tcPr>
            <w:tcW w:w="6580" w:type="dxa"/>
            <w:tcBorders>
              <w:top w:val="nil"/>
              <w:left w:val="nil"/>
              <w:bottom w:val="single" w:sz="4" w:space="0" w:color="auto"/>
              <w:right w:val="single" w:sz="8" w:space="0" w:color="auto"/>
            </w:tcBorders>
            <w:shd w:val="clear" w:color="auto" w:fill="FFC000"/>
            <w:noWrap/>
            <w:vAlign w:val="bottom"/>
            <w:hideMark/>
          </w:tcPr>
          <w:p w14:paraId="5D8A279D" w14:textId="77777777" w:rsidR="00332EE0" w:rsidRPr="00332EE0" w:rsidRDefault="00332EE0" w:rsidP="00332EE0">
            <w:pPr>
              <w:spacing w:after="0" w:line="240" w:lineRule="auto"/>
              <w:jc w:val="center"/>
              <w:rPr>
                <w:rFonts w:ascii="Calibri" w:eastAsia="Times New Roman" w:hAnsi="Calibri" w:cs="Calibri"/>
                <w:color w:val="000000"/>
                <w:sz w:val="18"/>
                <w:szCs w:val="18"/>
                <w:lang w:eastAsia="sk-SK"/>
              </w:rPr>
            </w:pPr>
            <w:r w:rsidRPr="00332EE0">
              <w:rPr>
                <w:rFonts w:ascii="Calibri" w:eastAsia="Times New Roman" w:hAnsi="Calibri" w:cs="Calibri"/>
                <w:color w:val="000000"/>
                <w:sz w:val="18"/>
                <w:szCs w:val="18"/>
                <w:lang w:eastAsia="sk-SK"/>
              </w:rPr>
              <w:t>1,52</w:t>
            </w:r>
          </w:p>
        </w:tc>
      </w:tr>
      <w:tr w:rsidR="00332EE0" w:rsidRPr="00332EE0" w14:paraId="037E6FB3" w14:textId="77777777" w:rsidTr="009C4865">
        <w:trPr>
          <w:trHeight w:val="196"/>
        </w:trPr>
        <w:tc>
          <w:tcPr>
            <w:tcW w:w="2458" w:type="dxa"/>
            <w:tcBorders>
              <w:top w:val="nil"/>
              <w:left w:val="single" w:sz="8" w:space="0" w:color="auto"/>
              <w:bottom w:val="single" w:sz="8" w:space="0" w:color="auto"/>
              <w:right w:val="single" w:sz="4" w:space="0" w:color="auto"/>
            </w:tcBorders>
            <w:shd w:val="clear" w:color="000000" w:fill="ED7D31"/>
            <w:noWrap/>
            <w:vAlign w:val="bottom"/>
            <w:hideMark/>
          </w:tcPr>
          <w:p w14:paraId="67647C7C" w14:textId="77777777" w:rsidR="00332EE0" w:rsidRPr="00332EE0" w:rsidRDefault="00332EE0" w:rsidP="00332EE0">
            <w:pPr>
              <w:spacing w:after="0" w:line="240" w:lineRule="auto"/>
              <w:jc w:val="center"/>
              <w:rPr>
                <w:rFonts w:ascii="Calibri" w:eastAsia="Times New Roman" w:hAnsi="Calibri" w:cs="Calibri"/>
                <w:color w:val="000000"/>
                <w:sz w:val="18"/>
                <w:szCs w:val="18"/>
                <w:lang w:eastAsia="sk-SK"/>
              </w:rPr>
            </w:pPr>
            <w:r w:rsidRPr="00332EE0">
              <w:rPr>
                <w:rFonts w:ascii="Calibri" w:eastAsia="Times New Roman" w:hAnsi="Calibri" w:cs="Calibri"/>
                <w:color w:val="000000"/>
                <w:sz w:val="18"/>
                <w:szCs w:val="18"/>
                <w:lang w:eastAsia="sk-SK"/>
              </w:rPr>
              <w:t>2050</w:t>
            </w:r>
          </w:p>
        </w:tc>
        <w:tc>
          <w:tcPr>
            <w:tcW w:w="6580" w:type="dxa"/>
            <w:tcBorders>
              <w:top w:val="nil"/>
              <w:left w:val="nil"/>
              <w:bottom w:val="single" w:sz="8" w:space="0" w:color="auto"/>
              <w:right w:val="single" w:sz="8" w:space="0" w:color="auto"/>
            </w:tcBorders>
            <w:shd w:val="clear" w:color="auto" w:fill="ED7D31" w:themeFill="accent2"/>
            <w:noWrap/>
            <w:vAlign w:val="bottom"/>
            <w:hideMark/>
          </w:tcPr>
          <w:p w14:paraId="1508890D" w14:textId="77777777" w:rsidR="00332EE0" w:rsidRPr="00332EE0" w:rsidRDefault="00332EE0" w:rsidP="00384A06">
            <w:pPr>
              <w:keepNext/>
              <w:spacing w:after="0" w:line="240" w:lineRule="auto"/>
              <w:jc w:val="center"/>
              <w:rPr>
                <w:rFonts w:ascii="Calibri" w:eastAsia="Times New Roman" w:hAnsi="Calibri" w:cs="Calibri"/>
                <w:color w:val="000000"/>
                <w:sz w:val="18"/>
                <w:szCs w:val="18"/>
                <w:lang w:eastAsia="sk-SK"/>
              </w:rPr>
            </w:pPr>
            <w:r w:rsidRPr="00332EE0">
              <w:rPr>
                <w:rFonts w:ascii="Calibri" w:eastAsia="Times New Roman" w:hAnsi="Calibri" w:cs="Calibri"/>
                <w:color w:val="000000"/>
                <w:sz w:val="18"/>
                <w:szCs w:val="18"/>
                <w:lang w:eastAsia="sk-SK"/>
              </w:rPr>
              <w:t>1,77</w:t>
            </w:r>
          </w:p>
        </w:tc>
      </w:tr>
    </w:tbl>
    <w:p w14:paraId="5666BD61" w14:textId="330AF519" w:rsidR="005511B9" w:rsidRPr="00384A06" w:rsidRDefault="00384A06" w:rsidP="00384A06">
      <w:pPr>
        <w:pStyle w:val="Popis"/>
        <w:rPr>
          <w:rFonts w:cstheme="minorHAnsi"/>
          <w:b/>
          <w:i w:val="0"/>
          <w:color w:val="auto"/>
          <w:sz w:val="22"/>
          <w:szCs w:val="22"/>
        </w:rPr>
      </w:pPr>
      <w:r w:rsidRPr="00384A06">
        <w:rPr>
          <w:b/>
          <w:i w:val="0"/>
          <w:color w:val="auto"/>
        </w:rPr>
        <w:t xml:space="preserve">Tabuľka </w:t>
      </w:r>
      <w:r w:rsidR="00FF36C8">
        <w:rPr>
          <w:b/>
          <w:i w:val="0"/>
          <w:color w:val="auto"/>
        </w:rPr>
        <w:fldChar w:fldCharType="begin"/>
      </w:r>
      <w:r w:rsidR="00FF36C8">
        <w:rPr>
          <w:b/>
          <w:i w:val="0"/>
          <w:color w:val="auto"/>
        </w:rPr>
        <w:instrText xml:space="preserve"> SEQ Tabuľka \* ARABIC </w:instrText>
      </w:r>
      <w:r w:rsidR="00FF36C8">
        <w:rPr>
          <w:b/>
          <w:i w:val="0"/>
          <w:color w:val="auto"/>
        </w:rPr>
        <w:fldChar w:fldCharType="separate"/>
      </w:r>
      <w:r w:rsidR="00FF36C8">
        <w:rPr>
          <w:b/>
          <w:i w:val="0"/>
          <w:noProof/>
          <w:color w:val="auto"/>
        </w:rPr>
        <w:t>10</w:t>
      </w:r>
      <w:r w:rsidR="00FF36C8">
        <w:rPr>
          <w:b/>
          <w:i w:val="0"/>
          <w:color w:val="auto"/>
        </w:rPr>
        <w:fldChar w:fldCharType="end"/>
      </w:r>
      <w:r w:rsidRPr="00384A06">
        <w:rPr>
          <w:b/>
          <w:i w:val="0"/>
          <w:color w:val="auto"/>
        </w:rPr>
        <w:t>. Vybrané scenáre výšok priemernej ročnej teploty vzduchu v °C v Telgárte podľa troch klimatických modelov KNMI, CGCM3.1 (A2) a CGCM3.1 (B1) pre časové horizonty 2025, 2040 a 2050. Zdroj: SHMÚ, 2018.</w:t>
      </w:r>
    </w:p>
    <w:p w14:paraId="36284EA1" w14:textId="496AA960" w:rsidR="000A4386" w:rsidRPr="000A4386" w:rsidRDefault="000A4386" w:rsidP="007659EC">
      <w:pPr>
        <w:autoSpaceDE w:val="0"/>
        <w:autoSpaceDN w:val="0"/>
        <w:adjustRightInd w:val="0"/>
        <w:spacing w:after="0" w:line="276" w:lineRule="auto"/>
        <w:jc w:val="both"/>
        <w:rPr>
          <w:rFonts w:cstheme="minorHAnsi"/>
        </w:rPr>
      </w:pPr>
      <w:r w:rsidRPr="000A4386">
        <w:rPr>
          <w:rFonts w:cstheme="minorHAnsi"/>
        </w:rPr>
        <w:t xml:space="preserve">Vzhľadom na veľkú komplexnosť prírodných podmienok na území NP Slovenský raj, vyššie popísané pozorované a očakávané zmeny hlavných klimatických indikátorov môžu viesť k širokému rozsahu rôznych dôsledkov a dopadov na aktivity spojené s turistickým ruchom, či už priamo na území NP alebo v jeho okolí. </w:t>
      </w:r>
    </w:p>
    <w:p w14:paraId="5FAB6FCF" w14:textId="34FEBC3B" w:rsidR="00C122FC" w:rsidRDefault="000A4386" w:rsidP="007659EC">
      <w:pPr>
        <w:spacing w:line="276" w:lineRule="auto"/>
        <w:jc w:val="both"/>
        <w:rPr>
          <w:rFonts w:cstheme="minorHAnsi"/>
        </w:rPr>
      </w:pPr>
      <w:r w:rsidRPr="000A4386">
        <w:rPr>
          <w:rFonts w:cstheme="minorHAnsi"/>
        </w:rPr>
        <w:t xml:space="preserve">V porovnaní s dlhodobým priemerom za 20. storočie (1961-1990) </w:t>
      </w:r>
      <w:r w:rsidR="007659EC">
        <w:rPr>
          <w:rFonts w:cstheme="minorHAnsi"/>
        </w:rPr>
        <w:t>sa očakáva</w:t>
      </w:r>
      <w:r w:rsidRPr="000A4386">
        <w:rPr>
          <w:rFonts w:cstheme="minorHAnsi"/>
        </w:rPr>
        <w:t xml:space="preserve">, že priemerná teplota vzduchu sa môže už do roku </w:t>
      </w:r>
      <w:r w:rsidRPr="007659EC">
        <w:rPr>
          <w:rFonts w:cstheme="minorHAnsi"/>
          <w:b/>
        </w:rPr>
        <w:t>do roku 2025 zvýšiť o 0,6-1,2 °C</w:t>
      </w:r>
      <w:r w:rsidRPr="000A4386">
        <w:rPr>
          <w:rFonts w:cstheme="minorHAnsi"/>
        </w:rPr>
        <w:t>,  ďalej do roku 2040 o približne 1,1-1,6 °C a do roku 2050 o 1,6-2,1 °C (</w:t>
      </w:r>
      <w:r w:rsidRPr="007659EC">
        <w:rPr>
          <w:rFonts w:cstheme="minorHAnsi"/>
          <w:b/>
        </w:rPr>
        <w:t>do konca 21. storočia o 3,5-4,5 °C</w:t>
      </w:r>
      <w:r w:rsidRPr="000A4386">
        <w:rPr>
          <w:rFonts w:cstheme="minorHAnsi"/>
        </w:rPr>
        <w:t>)</w:t>
      </w:r>
      <w:r w:rsidR="00E60139">
        <w:rPr>
          <w:rFonts w:cstheme="minorHAnsi"/>
        </w:rPr>
        <w:t xml:space="preserve"> (tabuľka 4)</w:t>
      </w:r>
      <w:r w:rsidRPr="000A4386">
        <w:rPr>
          <w:rFonts w:cstheme="minorHAnsi"/>
        </w:rPr>
        <w:t xml:space="preserve">. Vzhľadom na pomerne významne rastúce úhrny zrážok neočakávame, že by územie NP malo byť v krátkodobom časovom horizonte negatívne nedostatkom vody a suchom. Problémom však môžu byť </w:t>
      </w:r>
      <w:r w:rsidRPr="007659EC">
        <w:rPr>
          <w:rFonts w:cstheme="minorHAnsi"/>
          <w:b/>
        </w:rPr>
        <w:t>krátkodobé prívalové a veľmi intenzívne zrážky</w:t>
      </w:r>
      <w:r w:rsidRPr="000A4386">
        <w:rPr>
          <w:rFonts w:cstheme="minorHAnsi"/>
        </w:rPr>
        <w:t>, ktoré v kombinácii s mimoriadnou výškovou disekciou (rozmanitosťou) terénu NP môže viesť k </w:t>
      </w:r>
      <w:r w:rsidRPr="0011382E">
        <w:rPr>
          <w:rFonts w:cstheme="minorHAnsi"/>
          <w:b/>
        </w:rPr>
        <w:t>náhlym a rýchlym povodniam</w:t>
      </w:r>
      <w:r w:rsidRPr="000A4386">
        <w:rPr>
          <w:rFonts w:cstheme="minorHAnsi"/>
        </w:rPr>
        <w:t xml:space="preserve"> (predovšetkým v roklinách a prielomoch). Súvisí to aj s </w:t>
      </w:r>
      <w:r w:rsidRPr="007659EC">
        <w:rPr>
          <w:rFonts w:cstheme="minorHAnsi"/>
          <w:b/>
        </w:rPr>
        <w:t>očakávaný častejším výskytom búrkových fenoménov</w:t>
      </w:r>
      <w:r w:rsidRPr="000A4386">
        <w:rPr>
          <w:rFonts w:cstheme="minorHAnsi"/>
        </w:rPr>
        <w:t xml:space="preserve"> v širšej oblasti NP Slovenský raj. Všeobecný rast teploty v teplom polroku a </w:t>
      </w:r>
      <w:r w:rsidRPr="007659EC">
        <w:rPr>
          <w:rFonts w:cstheme="minorHAnsi"/>
          <w:b/>
        </w:rPr>
        <w:t>častejší výskyt letných a tropických dní</w:t>
      </w:r>
      <w:r w:rsidRPr="000A4386">
        <w:rPr>
          <w:rFonts w:cstheme="minorHAnsi"/>
        </w:rPr>
        <w:t xml:space="preserve"> môže mať na území NP priaznivý dopad na letný turistický ruch (zvýšenie návštevnosti v oblasti VD Palcmanská maša, Dedinky, atď.). Nie sú však vylúčené roky a obdobia, kedy pri priemerne vyšších teplotách (zvlášť počas epizód mimoriadne teplého počasia – vlny horúčav) a nedostatku vlahy z predošlej zimy (v dôsledku nevýznamnej alebo úplne absentujúcej snehovej pokrývky) môže dôjsť k </w:t>
      </w:r>
      <w:r w:rsidRPr="007659EC">
        <w:rPr>
          <w:rFonts w:cstheme="minorHAnsi"/>
          <w:b/>
        </w:rPr>
        <w:t>výskytu vážneho pôdneho alebo hydrologického sucha</w:t>
      </w:r>
      <w:r w:rsidRPr="000A4386">
        <w:rPr>
          <w:rFonts w:cstheme="minorHAnsi"/>
        </w:rPr>
        <w:t xml:space="preserve">. V týchto podmienkach sa môže aj v oblasti NP Slovenský raj zvyšovať </w:t>
      </w:r>
      <w:r w:rsidRPr="007659EC">
        <w:rPr>
          <w:rFonts w:cstheme="minorHAnsi"/>
          <w:b/>
        </w:rPr>
        <w:t>riziko lesných požiarov</w:t>
      </w:r>
      <w:r w:rsidRPr="000A4386">
        <w:rPr>
          <w:rFonts w:cstheme="minorHAnsi"/>
        </w:rPr>
        <w:t xml:space="preserve">. Vzhľad na krasový charakter územia bude potrebné počítať v suchších obdobiach s </w:t>
      </w:r>
      <w:r w:rsidRPr="007659EC">
        <w:rPr>
          <w:rFonts w:cstheme="minorHAnsi"/>
          <w:b/>
        </w:rPr>
        <w:t>krátkodobým nedostatkom povrchovej tečúcej vody</w:t>
      </w:r>
      <w:r w:rsidRPr="000A4386">
        <w:rPr>
          <w:rFonts w:cstheme="minorHAnsi"/>
        </w:rPr>
        <w:t xml:space="preserve">. Vyššia teplota vzduchu v zime v jednotlivých rokoch môže v nižších polohách spôsobiť </w:t>
      </w:r>
      <w:r w:rsidRPr="007659EC">
        <w:rPr>
          <w:rFonts w:cstheme="minorHAnsi"/>
          <w:b/>
        </w:rPr>
        <w:t>menej stabilnú snehovú pokrývku</w:t>
      </w:r>
      <w:r w:rsidRPr="000A4386">
        <w:rPr>
          <w:rFonts w:cstheme="minorHAnsi"/>
        </w:rPr>
        <w:t>, výnimkou pravdepodobne budú vysoko položené náhorné plošiny a vrcholové časti NP</w:t>
      </w:r>
      <w:r w:rsidR="007659EC">
        <w:rPr>
          <w:rFonts w:cstheme="minorHAnsi"/>
        </w:rPr>
        <w:t xml:space="preserve"> (1500 m n. m.)</w:t>
      </w:r>
      <w:r w:rsidRPr="000A4386">
        <w:rPr>
          <w:rFonts w:cstheme="minorHAnsi"/>
        </w:rPr>
        <w:t xml:space="preserve">, kde sa neočakáva významnejší pokles množstva (a trvania) snehovej pokrývky, aspoň nie do roku 2040. </w:t>
      </w:r>
      <w:r w:rsidR="00040843" w:rsidRPr="00040843">
        <w:rPr>
          <w:rFonts w:cstheme="minorHAnsi"/>
        </w:rPr>
        <w:t xml:space="preserve">Častejšie sa budú vyskytovať </w:t>
      </w:r>
      <w:r w:rsidR="00040843" w:rsidRPr="00040843">
        <w:rPr>
          <w:rFonts w:cstheme="minorHAnsi"/>
          <w:b/>
        </w:rPr>
        <w:t>zimné povodne</w:t>
      </w:r>
      <w:r w:rsidR="00040843" w:rsidRPr="00040843">
        <w:rPr>
          <w:rFonts w:cstheme="minorHAnsi"/>
        </w:rPr>
        <w:t xml:space="preserve"> (vzhľadom na malú rozlohu povodí v oblasti Slovenského raja sa neočakáva, že tento problém významne obmedzí alebo ohrozí aktivity súvisiace s turistickým </w:t>
      </w:r>
      <w:r w:rsidR="00040843" w:rsidRPr="00040843">
        <w:rPr>
          <w:rFonts w:cstheme="minorHAnsi"/>
        </w:rPr>
        <w:lastRenderedPageBreak/>
        <w:t>ruchom)</w:t>
      </w:r>
      <w:r w:rsidR="00040843">
        <w:rPr>
          <w:rFonts w:cstheme="minorHAnsi"/>
        </w:rPr>
        <w:t xml:space="preserve">. </w:t>
      </w:r>
      <w:r w:rsidRPr="000A4386">
        <w:rPr>
          <w:rFonts w:cstheme="minorHAnsi"/>
        </w:rPr>
        <w:t xml:space="preserve">Premŕzanie pôdy bude menej výrazné, čo môže spôsobiť </w:t>
      </w:r>
      <w:r w:rsidRPr="007659EC">
        <w:rPr>
          <w:rFonts w:cstheme="minorHAnsi"/>
          <w:b/>
        </w:rPr>
        <w:t>vyššiu náchylnosť na poškodenie lesných porastov</w:t>
      </w:r>
      <w:r w:rsidRPr="000A4386">
        <w:rPr>
          <w:rFonts w:cstheme="minorHAnsi"/>
        </w:rPr>
        <w:t xml:space="preserve"> najmä na začiatku zimy pri kombinácii silného vetra a mokrého snehu</w:t>
      </w:r>
      <w:r w:rsidR="0036120D">
        <w:rPr>
          <w:rFonts w:cstheme="minorHAnsi"/>
        </w:rPr>
        <w:t>.</w:t>
      </w:r>
    </w:p>
    <w:p w14:paraId="0D3E5E44" w14:textId="3A70B785" w:rsidR="00B97488" w:rsidRDefault="00B97488" w:rsidP="0038174C">
      <w:pPr>
        <w:spacing w:line="276" w:lineRule="auto"/>
      </w:pPr>
    </w:p>
    <w:p w14:paraId="5A33422C" w14:textId="5ABEAD17" w:rsidR="002B705C" w:rsidRDefault="002B705C" w:rsidP="00E30BB1">
      <w:pPr>
        <w:pStyle w:val="Nadpis2"/>
        <w:numPr>
          <w:ilvl w:val="1"/>
          <w:numId w:val="5"/>
        </w:numPr>
      </w:pPr>
      <w:bookmarkStart w:id="15" w:name="_Toc509383580"/>
      <w:r>
        <w:t>Analýza produktov v </w:t>
      </w:r>
      <w:r w:rsidR="0046342B">
        <w:t>CR</w:t>
      </w:r>
      <w:r>
        <w:t xml:space="preserve"> v NP Slovenský raj vzhľadom na dopady zmeny klímy</w:t>
      </w:r>
      <w:bookmarkEnd w:id="15"/>
    </w:p>
    <w:p w14:paraId="7B7E878B" w14:textId="2D9E0DC1" w:rsidR="002B705C" w:rsidRDefault="002B705C" w:rsidP="002B705C">
      <w:pPr>
        <w:pStyle w:val="Nadpis2"/>
        <w:ind w:left="576" w:hanging="576"/>
      </w:pPr>
    </w:p>
    <w:p w14:paraId="0BAC5DD3" w14:textId="72F51296" w:rsidR="00BC5B5C" w:rsidRDefault="00BC5B5C" w:rsidP="00627F58">
      <w:pPr>
        <w:spacing w:line="276" w:lineRule="auto"/>
        <w:jc w:val="both"/>
      </w:pPr>
      <w:r>
        <w:t xml:space="preserve">Územie NP Slovenský raj a jeho blízke okolie </w:t>
      </w:r>
      <w:r w:rsidR="00627F58">
        <w:t>môže byť</w:t>
      </w:r>
      <w:r>
        <w:t xml:space="preserve"> podľa Svetovej turistickej organizácie klasifikované ako prírodná a horská zimná destinácia. </w:t>
      </w:r>
    </w:p>
    <w:p w14:paraId="23827477" w14:textId="3C84C67D" w:rsidR="00BC5B5C" w:rsidRDefault="00BC5B5C" w:rsidP="00627F58">
      <w:pPr>
        <w:spacing w:line="276" w:lineRule="auto"/>
        <w:jc w:val="both"/>
      </w:pPr>
      <w:r w:rsidRPr="00BC5B5C">
        <w:t xml:space="preserve">Cestovný ruch založený na </w:t>
      </w:r>
      <w:r w:rsidR="00627F58" w:rsidRPr="00BC5B5C">
        <w:t>prírod</w:t>
      </w:r>
      <w:r w:rsidR="00627F58">
        <w:t>ných podmienkach</w:t>
      </w:r>
      <w:r w:rsidRPr="00BC5B5C">
        <w:t xml:space="preserve"> závisí od vysokej rôznorodosti </w:t>
      </w:r>
      <w:r w:rsidR="00627F58">
        <w:t xml:space="preserve">primárnej </w:t>
      </w:r>
      <w:r>
        <w:t>ponuky v</w:t>
      </w:r>
      <w:r w:rsidRPr="00BC5B5C">
        <w:t xml:space="preserve"> </w:t>
      </w:r>
      <w:r>
        <w:t xml:space="preserve">CR </w:t>
      </w:r>
      <w:r w:rsidRPr="00BC5B5C">
        <w:t xml:space="preserve"> (krajin</w:t>
      </w:r>
      <w:r>
        <w:t>a</w:t>
      </w:r>
      <w:r w:rsidRPr="00BC5B5C">
        <w:t xml:space="preserve">, </w:t>
      </w:r>
      <w:r>
        <w:t>biodiverzita</w:t>
      </w:r>
      <w:r w:rsidRPr="00BC5B5C">
        <w:t>, ekosystémy, vonkajšie aktivity využívajúce špecifické zdroje, nap</w:t>
      </w:r>
      <w:r w:rsidR="00627F58">
        <w:t>r</w:t>
      </w:r>
      <w:r>
        <w:t>.</w:t>
      </w:r>
      <w:r w:rsidRPr="00BC5B5C">
        <w:t xml:space="preserve"> </w:t>
      </w:r>
      <w:r>
        <w:t>hladina vody</w:t>
      </w:r>
      <w:r w:rsidRPr="00BC5B5C">
        <w:t xml:space="preserve"> v riekach na </w:t>
      </w:r>
      <w:r>
        <w:t>splavovanie,</w:t>
      </w:r>
      <w:r w:rsidRPr="00BC5B5C">
        <w:t xml:space="preserve"> atď.). </w:t>
      </w:r>
      <w:r w:rsidR="00627F58">
        <w:t xml:space="preserve">Vzhľadom na rôznorodosť </w:t>
      </w:r>
      <w:r w:rsidR="00D23C5D">
        <w:t>produktov</w:t>
      </w:r>
      <w:r w:rsidR="00627F58">
        <w:t xml:space="preserve"> v CR v prírodných destináciách j</w:t>
      </w:r>
      <w:r w:rsidRPr="00BC5B5C">
        <w:t xml:space="preserve">e </w:t>
      </w:r>
      <w:r w:rsidR="00627F58">
        <w:t>náročné</w:t>
      </w:r>
      <w:r w:rsidRPr="00BC5B5C">
        <w:t xml:space="preserve"> posúdiť rozsah vplyvov zmeny klímy</w:t>
      </w:r>
      <w:r w:rsidR="00627F58">
        <w:t xml:space="preserve"> v </w:t>
      </w:r>
      <w:r w:rsidRPr="00BC5B5C">
        <w:t xml:space="preserve">porovnaní s lyžiarskymi strediskami (spoliehajú sa hlavne na snehové podmienky) alebo </w:t>
      </w:r>
      <w:r w:rsidR="00627F58">
        <w:t>s destináciami zameranými na pobyt pri vode.</w:t>
      </w:r>
      <w:r w:rsidRPr="00BC5B5C">
        <w:t xml:space="preserve"> Napriek tomu, že ekosystémy môžu byť veľmi zraniteľné </w:t>
      </w:r>
      <w:r w:rsidR="00627F58">
        <w:t>na</w:t>
      </w:r>
      <w:r w:rsidRPr="00BC5B5C">
        <w:t xml:space="preserve"> zmen</w:t>
      </w:r>
      <w:r w:rsidR="00627F58">
        <w:t>u</w:t>
      </w:r>
      <w:r w:rsidRPr="00BC5B5C">
        <w:t xml:space="preserve"> klímy, existujú dobré možnosti prispôsobenia ekoturistik</w:t>
      </w:r>
      <w:r w:rsidR="00627F58">
        <w:t>y</w:t>
      </w:r>
      <w:r w:rsidRPr="00BC5B5C">
        <w:t xml:space="preserve"> </w:t>
      </w:r>
      <w:r w:rsidR="00627F58">
        <w:t>(</w:t>
      </w:r>
      <w:r w:rsidRPr="00BC5B5C">
        <w:t>vzhľadom na širokú škálu činností, ktoré je možné rozvíjať a realizovať v prírodných oblastiach</w:t>
      </w:r>
      <w:r w:rsidR="00627F58">
        <w:t>)</w:t>
      </w:r>
      <w:r w:rsidRPr="00BC5B5C">
        <w:t xml:space="preserve">. </w:t>
      </w:r>
    </w:p>
    <w:p w14:paraId="4CBF717E" w14:textId="75587185" w:rsidR="007649FD" w:rsidRPr="00BC5B5C" w:rsidRDefault="00691C89" w:rsidP="00627F58">
      <w:pPr>
        <w:spacing w:line="276" w:lineRule="auto"/>
        <w:jc w:val="both"/>
      </w:pPr>
      <w:r>
        <w:t>Horské zimné destinácie</w:t>
      </w:r>
      <w:r w:rsidR="007649FD" w:rsidRPr="007649FD">
        <w:t xml:space="preserve"> sú dôležit</w:t>
      </w:r>
      <w:r w:rsidR="00B23EAB">
        <w:t>ými</w:t>
      </w:r>
      <w:r w:rsidR="007649FD" w:rsidRPr="007649FD">
        <w:t xml:space="preserve"> destináci</w:t>
      </w:r>
      <w:r w:rsidR="00B23EAB">
        <w:t>ami</w:t>
      </w:r>
      <w:r w:rsidR="007649FD" w:rsidRPr="007649FD">
        <w:t xml:space="preserve"> </w:t>
      </w:r>
      <w:r w:rsidR="00B23EAB">
        <w:t>v</w:t>
      </w:r>
      <w:r w:rsidR="007649FD" w:rsidRPr="007649FD">
        <w:t xml:space="preserve"> cestovn</w:t>
      </w:r>
      <w:r w:rsidR="00B23EAB">
        <w:t>om</w:t>
      </w:r>
      <w:r w:rsidR="007649FD" w:rsidRPr="007649FD">
        <w:t xml:space="preserve"> ruch</w:t>
      </w:r>
      <w:r w:rsidR="00B23EAB">
        <w:t>u</w:t>
      </w:r>
      <w:r w:rsidR="007649FD" w:rsidRPr="007649FD">
        <w:t>. Snehová pokrývka a nedotknut</w:t>
      </w:r>
      <w:r w:rsidR="00B23EAB">
        <w:t>á</w:t>
      </w:r>
      <w:r w:rsidR="007649FD" w:rsidRPr="007649FD">
        <w:t xml:space="preserve"> horsk</w:t>
      </w:r>
      <w:r w:rsidR="00B23EAB">
        <w:t>á</w:t>
      </w:r>
      <w:r w:rsidR="007649FD" w:rsidRPr="007649FD">
        <w:t xml:space="preserve"> krajin</w:t>
      </w:r>
      <w:r w:rsidR="00B23EAB">
        <w:t xml:space="preserve">a </w:t>
      </w:r>
      <w:r w:rsidR="007649FD" w:rsidRPr="007649FD">
        <w:t xml:space="preserve">sú znaky, ktoré sú najviac ohrozené zmenou klímy. Okrem negatívnych vplyvov môže </w:t>
      </w:r>
      <w:r w:rsidR="00B23EAB">
        <w:t>zmena klímy</w:t>
      </w:r>
      <w:r w:rsidR="007649FD" w:rsidRPr="007649FD">
        <w:t xml:space="preserve"> v</w:t>
      </w:r>
      <w:r w:rsidR="008C1867">
        <w:t> týchto oblastiach</w:t>
      </w:r>
      <w:r w:rsidR="007649FD" w:rsidRPr="007649FD">
        <w:t xml:space="preserve"> priniesť aj </w:t>
      </w:r>
      <w:r w:rsidR="008C1867">
        <w:t xml:space="preserve">nové </w:t>
      </w:r>
      <w:r w:rsidR="007649FD" w:rsidRPr="007649FD">
        <w:t>príležitosti. Zatiaľ čo zimná sezóna sa môže skrátiť, letná sezóna sa môže predlžovať</w:t>
      </w:r>
      <w:r w:rsidR="008C1867">
        <w:t xml:space="preserve"> a tak</w:t>
      </w:r>
      <w:r w:rsidR="007649FD" w:rsidRPr="007649FD">
        <w:t xml:space="preserve"> poskytovať príležitosti pre ďalšie druhy aktivít a</w:t>
      </w:r>
      <w:r w:rsidR="008C1867">
        <w:t> </w:t>
      </w:r>
      <w:r w:rsidR="007649FD" w:rsidRPr="007649FD">
        <w:t>turistiku</w:t>
      </w:r>
      <w:r w:rsidR="008C1867">
        <w:t>.</w:t>
      </w:r>
    </w:p>
    <w:p w14:paraId="4022DF79" w14:textId="77777777" w:rsidR="002B705C" w:rsidRDefault="002B705C" w:rsidP="00E30BB1">
      <w:pPr>
        <w:pStyle w:val="Nadpis3"/>
        <w:numPr>
          <w:ilvl w:val="2"/>
          <w:numId w:val="5"/>
        </w:numPr>
      </w:pPr>
      <w:bookmarkStart w:id="16" w:name="_Toc509383581"/>
      <w:r>
        <w:t>Dopady zmeny klímy na letný cestovný ruch v NP Slovenský raj</w:t>
      </w:r>
      <w:bookmarkEnd w:id="16"/>
    </w:p>
    <w:p w14:paraId="14E40817" w14:textId="77777777" w:rsidR="002B705C" w:rsidRDefault="002B705C" w:rsidP="002B705C"/>
    <w:p w14:paraId="0B1719C0" w14:textId="77777777" w:rsidR="002B705C" w:rsidRDefault="002B705C" w:rsidP="002B705C">
      <w:pPr>
        <w:jc w:val="both"/>
      </w:pPr>
      <w:r>
        <w:t>S prebiehajúcou zmenou klímy sa dá v  podmienkach NP Slovenský raj predpokladať výskyt jednak negatívnych dopadov na cestovný ruch (napr. ohrozenie lesnými požiarmi alebo prívalovými dažďami a následne bleskovými povodňami), ale aj pozitívnych dopadov ako predpokladov pre rozvoj cestovného ruchu (zlepšenie podmienok pre letnú turistiku a pobyt pri vode). V súlade s predpokladanými klimatologickými scenármi vývoja stavu zmeny klímy (nárast priemernej ročnej teploty vzduchu o 1,65 °C - 2,03 °C v roku 2050 (tab. 9)) je pravdepodobné, že identifikované dopady</w:t>
      </w:r>
      <w:r w:rsidRPr="0084541C">
        <w:t xml:space="preserve"> </w:t>
      </w:r>
      <w:r>
        <w:t>sa budú intenzifikovať.</w:t>
      </w:r>
    </w:p>
    <w:p w14:paraId="1043817E" w14:textId="23079E35" w:rsidR="002B705C" w:rsidRDefault="002B705C" w:rsidP="002B705C">
      <w:pPr>
        <w:jc w:val="both"/>
      </w:pPr>
      <w:r>
        <w:t>Zoznam identifikovaných kľúčových dopadov zmeny klímy pre letný CR v NP Slovenský raj na základe klimatologického a expertného posudku</w:t>
      </w:r>
      <w:r w:rsidR="001B0088">
        <w:t xml:space="preserve"> (s ohľadom</w:t>
      </w:r>
      <w:r w:rsidR="00CF0B75">
        <w:t xml:space="preserve"> na</w:t>
      </w:r>
      <w:r w:rsidR="001B0088">
        <w:t> dostupn</w:t>
      </w:r>
      <w:r w:rsidR="00CF0B75">
        <w:t>é</w:t>
      </w:r>
      <w:r w:rsidR="001B0088">
        <w:t xml:space="preserve"> odborn</w:t>
      </w:r>
      <w:r w:rsidR="00CF0B75">
        <w:t>é</w:t>
      </w:r>
      <w:r w:rsidR="001B0088">
        <w:t xml:space="preserve"> štúdi</w:t>
      </w:r>
      <w:r w:rsidR="00CF0B75">
        <w:t>e</w:t>
      </w:r>
      <w:r w:rsidR="001B0088">
        <w:t>)</w:t>
      </w:r>
      <w:r>
        <w:t>:</w:t>
      </w:r>
    </w:p>
    <w:p w14:paraId="08CB6EBB" w14:textId="3EE5A562" w:rsidR="002B705C" w:rsidRPr="00525B4F" w:rsidRDefault="002B705C" w:rsidP="00E30BB1">
      <w:pPr>
        <w:pStyle w:val="Odsekzoznamu"/>
        <w:numPr>
          <w:ilvl w:val="0"/>
          <w:numId w:val="4"/>
        </w:numPr>
        <w:spacing w:after="0" w:line="276" w:lineRule="auto"/>
        <w:contextualSpacing w:val="0"/>
        <w:jc w:val="both"/>
        <w:rPr>
          <w:rFonts w:cstheme="minorHAnsi"/>
          <w:b/>
        </w:rPr>
      </w:pPr>
      <w:r>
        <w:rPr>
          <w:rFonts w:cstheme="minorHAnsi"/>
        </w:rPr>
        <w:t>S</w:t>
      </w:r>
      <w:r w:rsidRPr="00525B4F">
        <w:rPr>
          <w:rFonts w:cstheme="minorHAnsi"/>
        </w:rPr>
        <w:t xml:space="preserve">uchšie a horúcejšie letá spôsobujú, že v riekach a potokoch Slovenského raja je </w:t>
      </w:r>
      <w:r w:rsidRPr="00525B4F">
        <w:rPr>
          <w:rFonts w:cstheme="minorHAnsi"/>
          <w:b/>
        </w:rPr>
        <w:t>málo vody</w:t>
      </w:r>
      <w:r w:rsidRPr="00525B4F">
        <w:rPr>
          <w:rFonts w:cstheme="minorHAnsi"/>
        </w:rPr>
        <w:t xml:space="preserve">, vodopády v roklinách budú mať čoraz menšiu (až žiadnu) výdatnosť, čo </w:t>
      </w:r>
      <w:r w:rsidRPr="00525B4F">
        <w:rPr>
          <w:rFonts w:cstheme="minorHAnsi"/>
          <w:b/>
        </w:rPr>
        <w:t>zníži ich atraktivitu</w:t>
      </w:r>
      <w:r w:rsidRPr="00525B4F">
        <w:rPr>
          <w:rFonts w:cstheme="minorHAnsi"/>
        </w:rPr>
        <w:t xml:space="preserve"> pre pešiu turistiku</w:t>
      </w:r>
      <w:r>
        <w:rPr>
          <w:rFonts w:cstheme="minorHAnsi"/>
        </w:rPr>
        <w:t xml:space="preserve">. </w:t>
      </w:r>
      <w:r w:rsidRPr="00525B4F">
        <w:rPr>
          <w:rFonts w:cstheme="minorHAnsi"/>
        </w:rPr>
        <w:t>Nový ťažiskový turistický produkt - splav Prielomu Hornádu, bude prebiehať v čoraz obmedzenejšom režime</w:t>
      </w:r>
      <w:r>
        <w:rPr>
          <w:rFonts w:cstheme="minorHAnsi"/>
        </w:rPr>
        <w:t>.</w:t>
      </w:r>
      <w:r w:rsidR="007205FB">
        <w:rPr>
          <w:rFonts w:cstheme="minorHAnsi"/>
        </w:rPr>
        <w:t xml:space="preserve"> Zraniteľné sú aj rašeliniská, slatiny, atď.</w:t>
      </w:r>
    </w:p>
    <w:p w14:paraId="7F63B8FF" w14:textId="07B455C8" w:rsidR="002B705C" w:rsidRPr="00D703AF" w:rsidRDefault="002B705C" w:rsidP="00E30BB1">
      <w:pPr>
        <w:pStyle w:val="Odsekzoznamu"/>
        <w:numPr>
          <w:ilvl w:val="0"/>
          <w:numId w:val="4"/>
        </w:numPr>
        <w:spacing w:after="0" w:line="276" w:lineRule="auto"/>
        <w:contextualSpacing w:val="0"/>
        <w:jc w:val="both"/>
        <w:rPr>
          <w:rFonts w:cstheme="minorHAnsi"/>
          <w:b/>
        </w:rPr>
      </w:pPr>
      <w:r>
        <w:rPr>
          <w:rFonts w:cstheme="minorHAnsi"/>
        </w:rPr>
        <w:t>P</w:t>
      </w:r>
      <w:r w:rsidRPr="003C67F2">
        <w:rPr>
          <w:rFonts w:cstheme="minorHAnsi"/>
        </w:rPr>
        <w:t xml:space="preserve">ri zvyšujúcej sa priemernej teplote vzduchu </w:t>
      </w:r>
      <w:r w:rsidR="00AC7A95">
        <w:rPr>
          <w:rFonts w:cstheme="minorHAnsi"/>
        </w:rPr>
        <w:t>a</w:t>
      </w:r>
      <w:r w:rsidR="00F71F83">
        <w:rPr>
          <w:rFonts w:cstheme="minorHAnsi"/>
        </w:rPr>
        <w:t> v kombinácii s extrémnymi poveternostnými situáciami</w:t>
      </w:r>
      <w:r w:rsidR="00AC7A95">
        <w:rPr>
          <w:rFonts w:cstheme="minorHAnsi"/>
        </w:rPr>
        <w:t xml:space="preserve"> </w:t>
      </w:r>
      <w:r w:rsidRPr="003C67F2">
        <w:rPr>
          <w:rFonts w:cstheme="minorHAnsi"/>
        </w:rPr>
        <w:t xml:space="preserve">sú </w:t>
      </w:r>
      <w:r w:rsidRPr="00C15847">
        <w:rPr>
          <w:rFonts w:cstheme="minorHAnsi"/>
          <w:b/>
        </w:rPr>
        <w:t>ohrozené lesné</w:t>
      </w:r>
      <w:r w:rsidR="00F63489" w:rsidRPr="00C15847">
        <w:rPr>
          <w:rFonts w:cstheme="minorHAnsi"/>
          <w:b/>
        </w:rPr>
        <w:t xml:space="preserve"> biotopy</w:t>
      </w:r>
      <w:r w:rsidRPr="00C15847">
        <w:rPr>
          <w:rFonts w:cstheme="minorHAnsi"/>
          <w:b/>
        </w:rPr>
        <w:t xml:space="preserve"> </w:t>
      </w:r>
      <w:r w:rsidR="00AC7A95" w:rsidRPr="00C15847">
        <w:rPr>
          <w:rFonts w:cstheme="minorHAnsi"/>
          <w:b/>
        </w:rPr>
        <w:t>biotický</w:t>
      </w:r>
      <w:r w:rsidR="00F71F83" w:rsidRPr="00C15847">
        <w:rPr>
          <w:rFonts w:cstheme="minorHAnsi"/>
          <w:b/>
        </w:rPr>
        <w:t>mi</w:t>
      </w:r>
      <w:r w:rsidR="00AC7A95" w:rsidRPr="00C15847">
        <w:rPr>
          <w:rFonts w:cstheme="minorHAnsi"/>
          <w:b/>
        </w:rPr>
        <w:t xml:space="preserve"> škodlivý</w:t>
      </w:r>
      <w:r w:rsidR="00F71F83" w:rsidRPr="00C15847">
        <w:rPr>
          <w:rFonts w:cstheme="minorHAnsi"/>
          <w:b/>
        </w:rPr>
        <w:t>mi</w:t>
      </w:r>
      <w:r w:rsidR="00AC7A95" w:rsidRPr="00C15847">
        <w:rPr>
          <w:rFonts w:cstheme="minorHAnsi"/>
          <w:b/>
        </w:rPr>
        <w:t xml:space="preserve"> činiteľ</w:t>
      </w:r>
      <w:r w:rsidR="00F71F83" w:rsidRPr="00C15847">
        <w:rPr>
          <w:rFonts w:cstheme="minorHAnsi"/>
          <w:b/>
        </w:rPr>
        <w:t>mi</w:t>
      </w:r>
      <w:r w:rsidR="00F71F83">
        <w:rPr>
          <w:rFonts w:cstheme="minorHAnsi"/>
        </w:rPr>
        <w:t xml:space="preserve"> (podkôrny a drevokazný hmyz)</w:t>
      </w:r>
      <w:r w:rsidRPr="003C67F2">
        <w:rPr>
          <w:rFonts w:cstheme="minorHAnsi"/>
        </w:rPr>
        <w:t xml:space="preserve">, čo spôsobuje </w:t>
      </w:r>
      <w:r w:rsidRPr="00C15847">
        <w:rPr>
          <w:rFonts w:cstheme="minorHAnsi"/>
        </w:rPr>
        <w:t>vysychanie</w:t>
      </w:r>
      <w:r w:rsidRPr="003C67F2">
        <w:rPr>
          <w:rFonts w:cstheme="minorHAnsi"/>
        </w:rPr>
        <w:t xml:space="preserve"> (najmä ihličnatých) lesov a tak sa znižuje atraktivita územia pre </w:t>
      </w:r>
      <w:r w:rsidR="00AC7A95">
        <w:rPr>
          <w:rFonts w:cstheme="minorHAnsi"/>
        </w:rPr>
        <w:t>CR</w:t>
      </w:r>
      <w:r>
        <w:rPr>
          <w:rFonts w:cstheme="minorHAnsi"/>
        </w:rPr>
        <w:t>.</w:t>
      </w:r>
      <w:r w:rsidR="00AC7A95">
        <w:rPr>
          <w:rFonts w:cstheme="minorHAnsi"/>
        </w:rPr>
        <w:t xml:space="preserve"> </w:t>
      </w:r>
      <w:r w:rsidR="00AC7A95">
        <w:t>Disturbancie predovšetkým v lesných ekosystémoch môžu byť veľkoplošné</w:t>
      </w:r>
      <w:r w:rsidR="00F71F83">
        <w:t>.</w:t>
      </w:r>
    </w:p>
    <w:p w14:paraId="2FBD1044" w14:textId="487138B7" w:rsidR="002B705C" w:rsidRPr="00413589" w:rsidRDefault="00F63489" w:rsidP="00E30BB1">
      <w:pPr>
        <w:pStyle w:val="Odsekzoznamu"/>
        <w:numPr>
          <w:ilvl w:val="0"/>
          <w:numId w:val="4"/>
        </w:numPr>
        <w:spacing w:after="0" w:line="276" w:lineRule="auto"/>
        <w:contextualSpacing w:val="0"/>
        <w:jc w:val="both"/>
        <w:rPr>
          <w:rFonts w:cstheme="minorHAnsi"/>
          <w:b/>
          <w:color w:val="C45911" w:themeColor="accent2" w:themeShade="BF"/>
        </w:rPr>
      </w:pPr>
      <w:r>
        <w:rPr>
          <w:rFonts w:cstheme="minorHAnsi"/>
        </w:rPr>
        <w:t>Zmenou na h</w:t>
      </w:r>
      <w:r w:rsidRPr="003C67F2">
        <w:rPr>
          <w:rFonts w:cstheme="minorHAnsi"/>
        </w:rPr>
        <w:t>orúcejši</w:t>
      </w:r>
      <w:r>
        <w:rPr>
          <w:rFonts w:cstheme="minorHAnsi"/>
        </w:rPr>
        <w:t>u</w:t>
      </w:r>
      <w:r w:rsidRPr="003C67F2">
        <w:rPr>
          <w:rFonts w:cstheme="minorHAnsi"/>
        </w:rPr>
        <w:t xml:space="preserve"> a suchši</w:t>
      </w:r>
      <w:r>
        <w:rPr>
          <w:rFonts w:cstheme="minorHAnsi"/>
        </w:rPr>
        <w:t>u</w:t>
      </w:r>
      <w:r w:rsidRPr="003C67F2">
        <w:rPr>
          <w:rFonts w:cstheme="minorHAnsi"/>
        </w:rPr>
        <w:t xml:space="preserve"> klím</w:t>
      </w:r>
      <w:r>
        <w:rPr>
          <w:rFonts w:cstheme="minorHAnsi"/>
        </w:rPr>
        <w:t>u sa</w:t>
      </w:r>
      <w:r w:rsidRPr="003C67F2">
        <w:rPr>
          <w:rFonts w:cstheme="minorHAnsi"/>
        </w:rPr>
        <w:t xml:space="preserve"> </w:t>
      </w:r>
      <w:r>
        <w:t xml:space="preserve">predpokladajú zmeny v štruktúre a zložení biotopov, výmeny druhov v biotopoch </w:t>
      </w:r>
      <w:r w:rsidR="00C15847">
        <w:t xml:space="preserve">- </w:t>
      </w:r>
      <w:r w:rsidRPr="00C15847">
        <w:rPr>
          <w:b/>
        </w:rPr>
        <w:t>strata biodiverzity</w:t>
      </w:r>
      <w:r>
        <w:t xml:space="preserve"> </w:t>
      </w:r>
      <w:r w:rsidR="00C15847">
        <w:t>(</w:t>
      </w:r>
      <w:r w:rsidR="00AC7A95">
        <w:t>napr.</w:t>
      </w:r>
      <w:r w:rsidR="00C15847">
        <w:t xml:space="preserve"> v dôsledku</w:t>
      </w:r>
      <w:r w:rsidR="00AC7A95">
        <w:t xml:space="preserve"> neumožnen</w:t>
      </w:r>
      <w:r w:rsidR="00C15847">
        <w:t>ej</w:t>
      </w:r>
      <w:r w:rsidR="00AC7A95">
        <w:t xml:space="preserve"> migráci</w:t>
      </w:r>
      <w:r w:rsidR="00C15847">
        <w:t>e</w:t>
      </w:r>
      <w:r w:rsidR="00AC7A95">
        <w:t xml:space="preserve"> </w:t>
      </w:r>
      <w:r w:rsidR="00AC7A95">
        <w:lastRenderedPageBreak/>
        <w:t>druhov,</w:t>
      </w:r>
      <w:r w:rsidR="00C15847">
        <w:rPr>
          <w:rFonts w:cstheme="minorHAnsi"/>
        </w:rPr>
        <w:t xml:space="preserve"> fyziologických zmien, fenologických zmien</w:t>
      </w:r>
      <w:r>
        <w:rPr>
          <w:rFonts w:cstheme="minorHAnsi"/>
        </w:rPr>
        <w:t>)</w:t>
      </w:r>
      <w:r>
        <w:t xml:space="preserve">, ktoré spôsobia </w:t>
      </w:r>
      <w:r w:rsidRPr="00C15847">
        <w:rPr>
          <w:b/>
        </w:rPr>
        <w:t>zníženie odolnosti ekosystémov</w:t>
      </w:r>
      <w:r>
        <w:t>, zníženie ich schopnosti poskytovať ekosystémové služby alebo ich rozpad,</w:t>
      </w:r>
      <w:r w:rsidR="002B705C" w:rsidRPr="003C67F2">
        <w:rPr>
          <w:rFonts w:cstheme="minorHAnsi"/>
        </w:rPr>
        <w:t xml:space="preserve"> čo opäť zníži prírodnú atraktivitu regiónu</w:t>
      </w:r>
      <w:r w:rsidR="002B705C">
        <w:rPr>
          <w:rFonts w:cstheme="minorHAnsi"/>
        </w:rPr>
        <w:t>.</w:t>
      </w:r>
    </w:p>
    <w:p w14:paraId="0325BD79" w14:textId="77777777" w:rsidR="002B705C" w:rsidRPr="00137620" w:rsidRDefault="002B705C" w:rsidP="00E30BB1">
      <w:pPr>
        <w:pStyle w:val="Odsekzoznamu"/>
        <w:numPr>
          <w:ilvl w:val="0"/>
          <w:numId w:val="4"/>
        </w:numPr>
        <w:spacing w:after="0" w:line="276" w:lineRule="auto"/>
        <w:contextualSpacing w:val="0"/>
        <w:jc w:val="both"/>
        <w:rPr>
          <w:rFonts w:cstheme="minorHAnsi"/>
          <w:b/>
          <w:color w:val="C45911" w:themeColor="accent2" w:themeShade="BF"/>
        </w:rPr>
      </w:pPr>
      <w:r>
        <w:rPr>
          <w:rFonts w:cstheme="minorHAnsi"/>
          <w:b/>
        </w:rPr>
        <w:t>Búrky s v</w:t>
      </w:r>
      <w:r w:rsidRPr="00AA26A1">
        <w:rPr>
          <w:rFonts w:cstheme="minorHAnsi"/>
          <w:b/>
        </w:rPr>
        <w:t>ý</w:t>
      </w:r>
      <w:r>
        <w:rPr>
          <w:rFonts w:cstheme="minorHAnsi"/>
          <w:b/>
        </w:rPr>
        <w:t xml:space="preserve">skytom nebezpečných poveternostných javov </w:t>
      </w:r>
      <w:r w:rsidRPr="003123FF">
        <w:rPr>
          <w:rFonts w:cstheme="minorHAnsi"/>
          <w:shd w:val="clear" w:color="auto" w:fill="FFFFFF"/>
        </w:rPr>
        <w:t>(silný nárazový vietor, intenzívny dážď, krupobitie, veľké množstvo elektrických výbojov)</w:t>
      </w:r>
      <w:r>
        <w:rPr>
          <w:rFonts w:cstheme="minorHAnsi"/>
          <w:shd w:val="clear" w:color="auto" w:fill="FFFFFF"/>
        </w:rPr>
        <w:t>.</w:t>
      </w:r>
    </w:p>
    <w:p w14:paraId="59E28A58" w14:textId="1591AD73" w:rsidR="002B705C" w:rsidRPr="00413589" w:rsidRDefault="002B705C" w:rsidP="00E30BB1">
      <w:pPr>
        <w:pStyle w:val="Odsekzoznamu"/>
        <w:numPr>
          <w:ilvl w:val="0"/>
          <w:numId w:val="4"/>
        </w:numPr>
        <w:spacing w:after="0" w:line="276" w:lineRule="auto"/>
        <w:contextualSpacing w:val="0"/>
        <w:jc w:val="both"/>
        <w:rPr>
          <w:rFonts w:cstheme="minorHAnsi"/>
          <w:b/>
          <w:color w:val="C45911" w:themeColor="accent2" w:themeShade="BF"/>
        </w:rPr>
      </w:pPr>
      <w:r>
        <w:rPr>
          <w:rFonts w:cstheme="minorHAnsi"/>
        </w:rPr>
        <w:t>Výskyt búrok je často sprevádzan</w:t>
      </w:r>
      <w:r w:rsidR="00CA5097">
        <w:rPr>
          <w:rFonts w:cstheme="minorHAnsi"/>
        </w:rPr>
        <w:t>ý</w:t>
      </w:r>
      <w:r w:rsidRPr="00620CEC">
        <w:rPr>
          <w:rFonts w:cstheme="minorHAnsi"/>
        </w:rPr>
        <w:t xml:space="preserve"> </w:t>
      </w:r>
      <w:r>
        <w:rPr>
          <w:rFonts w:cstheme="minorHAnsi"/>
          <w:b/>
        </w:rPr>
        <w:t>prívalovými dažďami</w:t>
      </w:r>
      <w:r w:rsidRPr="00620CEC">
        <w:rPr>
          <w:rFonts w:cstheme="minorHAnsi"/>
        </w:rPr>
        <w:t xml:space="preserve">, ktoré predstavujú ohrozenie územia </w:t>
      </w:r>
      <w:r>
        <w:rPr>
          <w:rFonts w:cstheme="minorHAnsi"/>
        </w:rPr>
        <w:t xml:space="preserve">náhlymi </w:t>
      </w:r>
      <w:r w:rsidRPr="00AA26A1">
        <w:rPr>
          <w:rFonts w:cstheme="minorHAnsi"/>
          <w:b/>
        </w:rPr>
        <w:t>záplavami</w:t>
      </w:r>
      <w:r w:rsidRPr="00620CEC">
        <w:rPr>
          <w:rFonts w:cstheme="minorHAnsi"/>
        </w:rPr>
        <w:t>. To má a bude mať za dôsledok pravidelné poškodenie sprístupňovacích prvkov v roklinách, nárast nákladov na ich opravu a do</w:t>
      </w:r>
      <w:r>
        <w:rPr>
          <w:rFonts w:cstheme="minorHAnsi"/>
        </w:rPr>
        <w:t>časnú nemožnosť návštevy roklín.</w:t>
      </w:r>
    </w:p>
    <w:p w14:paraId="62E2456F" w14:textId="77777777" w:rsidR="002B705C" w:rsidRPr="00413589" w:rsidRDefault="002B705C" w:rsidP="00E30BB1">
      <w:pPr>
        <w:pStyle w:val="Odsekzoznamu"/>
        <w:numPr>
          <w:ilvl w:val="0"/>
          <w:numId w:val="4"/>
        </w:numPr>
        <w:spacing w:after="0" w:line="276" w:lineRule="auto"/>
        <w:contextualSpacing w:val="0"/>
        <w:jc w:val="both"/>
        <w:rPr>
          <w:rFonts w:cstheme="minorHAnsi"/>
          <w:b/>
        </w:rPr>
      </w:pPr>
      <w:r>
        <w:rPr>
          <w:rFonts w:cstheme="minorHAnsi"/>
        </w:rPr>
        <w:t xml:space="preserve">Vplyvom prívalových dažďov sa </w:t>
      </w:r>
      <w:r w:rsidRPr="00620CEC">
        <w:rPr>
          <w:rFonts w:cstheme="minorHAnsi"/>
        </w:rPr>
        <w:t xml:space="preserve">na odlesnených </w:t>
      </w:r>
      <w:r>
        <w:rPr>
          <w:rFonts w:cstheme="minorHAnsi"/>
        </w:rPr>
        <w:t>plochách</w:t>
      </w:r>
      <w:r w:rsidRPr="00620CEC">
        <w:rPr>
          <w:rFonts w:cstheme="minorHAnsi"/>
        </w:rPr>
        <w:t xml:space="preserve"> môže objaviť </w:t>
      </w:r>
      <w:r w:rsidRPr="00413589">
        <w:rPr>
          <w:rFonts w:cstheme="minorHAnsi"/>
          <w:b/>
        </w:rPr>
        <w:t>zvýšená erózia a zosuvy pôdy</w:t>
      </w:r>
      <w:r>
        <w:rPr>
          <w:rFonts w:cstheme="minorHAnsi"/>
          <w:b/>
        </w:rPr>
        <w:t xml:space="preserve"> a </w:t>
      </w:r>
      <w:r w:rsidRPr="00321173">
        <w:rPr>
          <w:rFonts w:cstheme="minorHAnsi"/>
        </w:rPr>
        <w:t>vplyvom rýchleho striedania počasia zasa</w:t>
      </w:r>
      <w:r>
        <w:rPr>
          <w:rFonts w:cstheme="minorHAnsi"/>
          <w:b/>
        </w:rPr>
        <w:t xml:space="preserve"> erózia skál (zvetrávanie skalných stien).</w:t>
      </w:r>
    </w:p>
    <w:p w14:paraId="1D8EA0A6" w14:textId="77777777" w:rsidR="002B705C" w:rsidRPr="00413589" w:rsidRDefault="002B705C" w:rsidP="00E30BB1">
      <w:pPr>
        <w:pStyle w:val="Odsekzoznamu"/>
        <w:numPr>
          <w:ilvl w:val="0"/>
          <w:numId w:val="4"/>
        </w:numPr>
        <w:spacing w:after="0" w:line="276" w:lineRule="auto"/>
        <w:jc w:val="both"/>
        <w:rPr>
          <w:rFonts w:cstheme="minorHAnsi"/>
          <w:b/>
          <w:color w:val="C45911" w:themeColor="accent2" w:themeShade="BF"/>
        </w:rPr>
      </w:pPr>
      <w:r>
        <w:rPr>
          <w:rFonts w:cstheme="minorHAnsi"/>
          <w:b/>
        </w:rPr>
        <w:t>V</w:t>
      </w:r>
      <w:r w:rsidRPr="00557187">
        <w:rPr>
          <w:rFonts w:cstheme="minorHAnsi"/>
          <w:b/>
        </w:rPr>
        <w:t>eterné kalamity</w:t>
      </w:r>
      <w:r w:rsidRPr="00620CEC">
        <w:rPr>
          <w:rFonts w:cstheme="minorHAnsi"/>
        </w:rPr>
        <w:t xml:space="preserve"> s následkom polomov a nepriechodnosti turistických chodníkov (prechodné uzávery tur</w:t>
      </w:r>
      <w:r>
        <w:rPr>
          <w:rFonts w:cstheme="minorHAnsi"/>
        </w:rPr>
        <w:t xml:space="preserve">istických a cykloturistických </w:t>
      </w:r>
      <w:r w:rsidRPr="00620CEC">
        <w:rPr>
          <w:rFonts w:cstheme="minorHAnsi"/>
        </w:rPr>
        <w:t>chodníkov, znižovanie až zamedzenie návštevnosti)</w:t>
      </w:r>
      <w:r>
        <w:rPr>
          <w:rFonts w:cstheme="minorHAnsi"/>
        </w:rPr>
        <w:t xml:space="preserve">. </w:t>
      </w:r>
    </w:p>
    <w:p w14:paraId="03B5B44F" w14:textId="77777777" w:rsidR="002B705C" w:rsidRPr="00557187" w:rsidRDefault="002B705C" w:rsidP="00E30BB1">
      <w:pPr>
        <w:pStyle w:val="Odsekzoznamu"/>
        <w:numPr>
          <w:ilvl w:val="0"/>
          <w:numId w:val="4"/>
        </w:numPr>
        <w:spacing w:after="0" w:line="276" w:lineRule="auto"/>
        <w:contextualSpacing w:val="0"/>
        <w:jc w:val="both"/>
        <w:rPr>
          <w:rFonts w:cstheme="minorHAnsi"/>
          <w:b/>
        </w:rPr>
      </w:pPr>
      <w:r>
        <w:rPr>
          <w:rFonts w:cstheme="minorHAnsi"/>
        </w:rPr>
        <w:t>P</w:t>
      </w:r>
      <w:r w:rsidRPr="00620CEC">
        <w:rPr>
          <w:rFonts w:cstheme="minorHAnsi"/>
        </w:rPr>
        <w:t xml:space="preserve">očas dlhotrvajúcich súch ohrozenie </w:t>
      </w:r>
      <w:r w:rsidRPr="00557187">
        <w:rPr>
          <w:rFonts w:cstheme="minorHAnsi"/>
          <w:b/>
        </w:rPr>
        <w:t>lesnými požiarmi</w:t>
      </w:r>
      <w:r>
        <w:rPr>
          <w:rFonts w:cstheme="minorHAnsi"/>
          <w:b/>
        </w:rPr>
        <w:t>.</w:t>
      </w:r>
    </w:p>
    <w:p w14:paraId="6CD2F06C" w14:textId="77777777" w:rsidR="002B705C" w:rsidRPr="00413589" w:rsidRDefault="002B705C" w:rsidP="00E30BB1">
      <w:pPr>
        <w:pStyle w:val="Odsekzoznamu"/>
        <w:numPr>
          <w:ilvl w:val="0"/>
          <w:numId w:val="4"/>
        </w:numPr>
        <w:spacing w:after="0" w:line="276" w:lineRule="auto"/>
        <w:contextualSpacing w:val="0"/>
        <w:jc w:val="both"/>
        <w:rPr>
          <w:rFonts w:cstheme="minorHAnsi"/>
          <w:b/>
          <w:color w:val="C45911" w:themeColor="accent2" w:themeShade="BF"/>
        </w:rPr>
      </w:pPr>
      <w:r>
        <w:rPr>
          <w:rFonts w:cstheme="minorHAnsi"/>
        </w:rPr>
        <w:t>Preskupenie masy ľadu do spodnej časti jaskyne a postupná strata ľadovej krasovej výzdoby v Dobšinskej ľadovej jaskyni, čo môže znížiť atraktivitu jaskyne pre turistov.</w:t>
      </w:r>
    </w:p>
    <w:p w14:paraId="735E4223" w14:textId="764D221B" w:rsidR="002B705C" w:rsidRPr="00413589" w:rsidRDefault="002B705C" w:rsidP="00E30BB1">
      <w:pPr>
        <w:pStyle w:val="Odsekzoznamu"/>
        <w:numPr>
          <w:ilvl w:val="0"/>
          <w:numId w:val="4"/>
        </w:numPr>
        <w:spacing w:after="0" w:line="276" w:lineRule="auto"/>
        <w:contextualSpacing w:val="0"/>
        <w:jc w:val="both"/>
        <w:rPr>
          <w:rFonts w:cstheme="minorHAnsi"/>
          <w:b/>
        </w:rPr>
      </w:pPr>
      <w:r>
        <w:rPr>
          <w:rFonts w:cstheme="minorHAnsi"/>
          <w:b/>
        </w:rPr>
        <w:t>P</w:t>
      </w:r>
      <w:r w:rsidRPr="00557187">
        <w:rPr>
          <w:rFonts w:cstheme="minorHAnsi"/>
          <w:b/>
        </w:rPr>
        <w:t>redlžovanie letnej sezóny</w:t>
      </w:r>
      <w:r>
        <w:rPr>
          <w:rFonts w:cstheme="minorHAnsi"/>
        </w:rPr>
        <w:t xml:space="preserve"> (pôvodne máj-október na apríl-november)</w:t>
      </w:r>
      <w:r w:rsidR="00CF0B75">
        <w:rPr>
          <w:rStyle w:val="Odkaznapoznmkupodiarou"/>
          <w:rFonts w:cstheme="minorHAnsi"/>
        </w:rPr>
        <w:footnoteReference w:id="2"/>
      </w:r>
      <w:r>
        <w:rPr>
          <w:rFonts w:cstheme="minorHAnsi"/>
        </w:rPr>
        <w:t xml:space="preserve">. </w:t>
      </w:r>
    </w:p>
    <w:p w14:paraId="021C2FEE" w14:textId="5CE0F658" w:rsidR="002B705C" w:rsidRPr="00413589" w:rsidRDefault="002B705C" w:rsidP="00E30BB1">
      <w:pPr>
        <w:pStyle w:val="Odsekzoznamu"/>
        <w:numPr>
          <w:ilvl w:val="0"/>
          <w:numId w:val="4"/>
        </w:numPr>
        <w:spacing w:after="0" w:line="276" w:lineRule="auto"/>
        <w:contextualSpacing w:val="0"/>
        <w:jc w:val="both"/>
        <w:rPr>
          <w:rFonts w:cstheme="minorHAnsi"/>
          <w:b/>
          <w:color w:val="C45911" w:themeColor="accent2" w:themeShade="BF"/>
        </w:rPr>
      </w:pPr>
      <w:r>
        <w:rPr>
          <w:rFonts w:cstheme="minorHAnsi"/>
        </w:rPr>
        <w:t>V</w:t>
      </w:r>
      <w:r w:rsidRPr="00557187">
        <w:rPr>
          <w:rFonts w:cstheme="minorHAnsi"/>
        </w:rPr>
        <w:t xml:space="preserve">ysoké letné teploty prinesú </w:t>
      </w:r>
      <w:r w:rsidRPr="001B4FD0">
        <w:rPr>
          <w:rFonts w:cstheme="minorHAnsi"/>
          <w:b/>
        </w:rPr>
        <w:t>viac turistov</w:t>
      </w:r>
      <w:r w:rsidRPr="00557187">
        <w:rPr>
          <w:rFonts w:cstheme="minorHAnsi"/>
        </w:rPr>
        <w:t>, ktorí sa pokúšajú vyhnúť vyšším teplotám v nižších nadmorských výškach a urbanizovaných prostrediach</w:t>
      </w:r>
      <w:r>
        <w:rPr>
          <w:rFonts w:cstheme="minorHAnsi"/>
        </w:rPr>
        <w:t>.</w:t>
      </w:r>
    </w:p>
    <w:p w14:paraId="0E6770A4" w14:textId="77777777" w:rsidR="002B705C" w:rsidRDefault="002B705C" w:rsidP="00E30BB1">
      <w:pPr>
        <w:pStyle w:val="Odsekzoznamu"/>
        <w:numPr>
          <w:ilvl w:val="0"/>
          <w:numId w:val="4"/>
        </w:numPr>
        <w:spacing w:after="0" w:line="276" w:lineRule="auto"/>
        <w:contextualSpacing w:val="0"/>
        <w:jc w:val="both"/>
        <w:rPr>
          <w:rFonts w:cstheme="minorHAnsi"/>
        </w:rPr>
      </w:pPr>
      <w:r>
        <w:rPr>
          <w:rFonts w:cstheme="minorHAnsi"/>
        </w:rPr>
        <w:t>Súčasne s</w:t>
      </w:r>
      <w:r w:rsidRPr="00557187">
        <w:rPr>
          <w:rFonts w:cstheme="minorHAnsi"/>
        </w:rPr>
        <w:t xml:space="preserve"> nárastom teplôt sa dá očakávať </w:t>
      </w:r>
      <w:r w:rsidRPr="00557187">
        <w:rPr>
          <w:rFonts w:cstheme="minorHAnsi"/>
          <w:b/>
        </w:rPr>
        <w:t>zvýšenie popularity rekreácie pri vode</w:t>
      </w:r>
      <w:r w:rsidRPr="00557187">
        <w:rPr>
          <w:rFonts w:cstheme="minorHAnsi"/>
        </w:rPr>
        <w:t xml:space="preserve"> (prírodné a umelé vodné plochy)</w:t>
      </w:r>
      <w:r>
        <w:rPr>
          <w:rFonts w:cstheme="minorHAnsi"/>
        </w:rPr>
        <w:t>.</w:t>
      </w:r>
    </w:p>
    <w:p w14:paraId="3158F961" w14:textId="77777777" w:rsidR="002B705C" w:rsidRDefault="002B705C" w:rsidP="002B705C">
      <w:pPr>
        <w:pStyle w:val="Odsekzoznamu"/>
        <w:spacing w:after="0" w:line="276" w:lineRule="auto"/>
        <w:contextualSpacing w:val="0"/>
        <w:jc w:val="both"/>
        <w:rPr>
          <w:rFonts w:cstheme="minorHAnsi"/>
        </w:rPr>
      </w:pPr>
    </w:p>
    <w:p w14:paraId="3D63D8C1" w14:textId="77777777" w:rsidR="002B705C" w:rsidRPr="002B4DA4" w:rsidRDefault="002B705C" w:rsidP="002B705C">
      <w:pPr>
        <w:pStyle w:val="Odsekzoznamu"/>
        <w:spacing w:after="0" w:line="276" w:lineRule="auto"/>
        <w:contextualSpacing w:val="0"/>
        <w:jc w:val="both"/>
        <w:rPr>
          <w:rFonts w:cstheme="minorHAnsi"/>
        </w:rPr>
      </w:pPr>
    </w:p>
    <w:tbl>
      <w:tblPr>
        <w:tblW w:w="9640" w:type="dxa"/>
        <w:tblInd w:w="-5" w:type="dxa"/>
        <w:tblLayout w:type="fixed"/>
        <w:tblCellMar>
          <w:left w:w="70" w:type="dxa"/>
          <w:right w:w="70" w:type="dxa"/>
        </w:tblCellMar>
        <w:tblLook w:val="04A0" w:firstRow="1" w:lastRow="0" w:firstColumn="1" w:lastColumn="0" w:noHBand="0" w:noVBand="1"/>
      </w:tblPr>
      <w:tblGrid>
        <w:gridCol w:w="1418"/>
        <w:gridCol w:w="622"/>
        <w:gridCol w:w="1788"/>
        <w:gridCol w:w="1842"/>
        <w:gridCol w:w="426"/>
        <w:gridCol w:w="993"/>
        <w:gridCol w:w="1275"/>
        <w:gridCol w:w="1276"/>
      </w:tblGrid>
      <w:tr w:rsidR="002B705C" w:rsidRPr="003206B8" w14:paraId="02335F05" w14:textId="77777777" w:rsidTr="002670CE">
        <w:trPr>
          <w:trHeight w:val="525"/>
        </w:trPr>
        <w:tc>
          <w:tcPr>
            <w:tcW w:w="1418"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3A7F27C6" w14:textId="77777777" w:rsidR="002B705C" w:rsidRPr="003206B8" w:rsidRDefault="002B705C" w:rsidP="002670CE">
            <w:pPr>
              <w:spacing w:after="0" w:line="240" w:lineRule="auto"/>
              <w:jc w:val="center"/>
              <w:rPr>
                <w:rFonts w:ascii="Calibri" w:eastAsia="Times New Roman" w:hAnsi="Calibri" w:cs="Calibri"/>
                <w:b/>
                <w:bCs/>
                <w:color w:val="000000"/>
                <w:sz w:val="20"/>
                <w:szCs w:val="20"/>
                <w:lang w:eastAsia="sk-SK"/>
              </w:rPr>
            </w:pPr>
            <w:r w:rsidRPr="003206B8">
              <w:rPr>
                <w:rFonts w:ascii="Calibri" w:eastAsia="Times New Roman" w:hAnsi="Calibri" w:cs="Calibri"/>
                <w:b/>
                <w:bCs/>
                <w:color w:val="000000"/>
                <w:sz w:val="20"/>
                <w:szCs w:val="20"/>
                <w:lang w:eastAsia="sk-SK"/>
              </w:rPr>
              <w:t xml:space="preserve">Typ </w:t>
            </w:r>
            <w:r>
              <w:rPr>
                <w:rFonts w:ascii="Calibri" w:eastAsia="Times New Roman" w:hAnsi="Calibri" w:cs="Calibri"/>
                <w:b/>
                <w:bCs/>
                <w:color w:val="000000"/>
                <w:sz w:val="20"/>
                <w:szCs w:val="20"/>
                <w:lang w:eastAsia="sk-SK"/>
              </w:rPr>
              <w:t>produktu</w:t>
            </w:r>
            <w:r w:rsidRPr="003206B8">
              <w:rPr>
                <w:rFonts w:ascii="Calibri" w:eastAsia="Times New Roman" w:hAnsi="Calibri" w:cs="Calibri"/>
                <w:b/>
                <w:bCs/>
                <w:color w:val="000000"/>
                <w:sz w:val="20"/>
                <w:szCs w:val="20"/>
                <w:lang w:eastAsia="sk-SK"/>
              </w:rPr>
              <w:t xml:space="preserve"> CR (letná sezóna)</w:t>
            </w:r>
          </w:p>
        </w:tc>
        <w:tc>
          <w:tcPr>
            <w:tcW w:w="622"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B25B198" w14:textId="77777777" w:rsidR="002B705C" w:rsidRPr="003206B8" w:rsidRDefault="002B705C" w:rsidP="002670CE">
            <w:pPr>
              <w:spacing w:after="0" w:line="240" w:lineRule="auto"/>
              <w:jc w:val="center"/>
              <w:rPr>
                <w:rFonts w:ascii="Calibri" w:eastAsia="Times New Roman" w:hAnsi="Calibri" w:cs="Calibri"/>
                <w:b/>
                <w:bCs/>
                <w:color w:val="000000"/>
                <w:sz w:val="20"/>
                <w:szCs w:val="20"/>
                <w:lang w:eastAsia="sk-SK"/>
              </w:rPr>
            </w:pPr>
            <w:r w:rsidRPr="003206B8">
              <w:rPr>
                <w:rFonts w:ascii="Calibri" w:eastAsia="Times New Roman" w:hAnsi="Calibri" w:cs="Calibri"/>
                <w:b/>
                <w:bCs/>
                <w:color w:val="000000"/>
                <w:sz w:val="20"/>
                <w:szCs w:val="20"/>
                <w:lang w:eastAsia="sk-SK"/>
              </w:rPr>
              <w:t>č.</w:t>
            </w:r>
          </w:p>
        </w:tc>
        <w:tc>
          <w:tcPr>
            <w:tcW w:w="1788" w:type="dxa"/>
            <w:vMerge w:val="restart"/>
            <w:tcBorders>
              <w:top w:val="single" w:sz="4" w:space="0" w:color="auto"/>
              <w:left w:val="single" w:sz="4" w:space="0" w:color="auto"/>
              <w:bottom w:val="single" w:sz="4" w:space="0" w:color="auto"/>
              <w:right w:val="nil"/>
            </w:tcBorders>
            <w:shd w:val="clear" w:color="000000" w:fill="BFBFBF"/>
            <w:noWrap/>
            <w:vAlign w:val="center"/>
            <w:hideMark/>
          </w:tcPr>
          <w:p w14:paraId="301AE5D1" w14:textId="77777777" w:rsidR="002B705C" w:rsidRPr="003206B8" w:rsidRDefault="002B705C" w:rsidP="002670CE">
            <w:pPr>
              <w:spacing w:after="0" w:line="240" w:lineRule="auto"/>
              <w:jc w:val="center"/>
              <w:rPr>
                <w:rFonts w:ascii="Calibri" w:eastAsia="Times New Roman" w:hAnsi="Calibri" w:cs="Calibri"/>
                <w:b/>
                <w:bCs/>
                <w:color w:val="000000"/>
                <w:sz w:val="20"/>
                <w:szCs w:val="20"/>
                <w:lang w:eastAsia="sk-SK"/>
              </w:rPr>
            </w:pPr>
            <w:r w:rsidRPr="003206B8">
              <w:rPr>
                <w:rFonts w:ascii="Calibri" w:eastAsia="Times New Roman" w:hAnsi="Calibri" w:cs="Calibri"/>
                <w:b/>
                <w:bCs/>
                <w:color w:val="000000"/>
                <w:sz w:val="20"/>
                <w:szCs w:val="20"/>
                <w:lang w:eastAsia="sk-SK"/>
              </w:rPr>
              <w:t>Pod</w:t>
            </w:r>
            <w:r>
              <w:rPr>
                <w:rFonts w:ascii="Calibri" w:eastAsia="Times New Roman" w:hAnsi="Calibri" w:cs="Calibri"/>
                <w:b/>
                <w:bCs/>
                <w:color w:val="000000"/>
                <w:sz w:val="20"/>
                <w:szCs w:val="20"/>
                <w:lang w:eastAsia="sk-SK"/>
              </w:rPr>
              <w:t>produkt</w:t>
            </w:r>
            <w:r w:rsidRPr="003206B8">
              <w:rPr>
                <w:rFonts w:ascii="Calibri" w:eastAsia="Times New Roman" w:hAnsi="Calibri" w:cs="Calibri"/>
                <w:b/>
                <w:bCs/>
                <w:color w:val="000000"/>
                <w:sz w:val="20"/>
                <w:szCs w:val="20"/>
                <w:lang w:eastAsia="sk-SK"/>
              </w:rPr>
              <w:t xml:space="preserve"> CR</w:t>
            </w:r>
          </w:p>
        </w:tc>
        <w:tc>
          <w:tcPr>
            <w:tcW w:w="2268" w:type="dxa"/>
            <w:gridSpan w:val="2"/>
            <w:vMerge w:val="restart"/>
            <w:tcBorders>
              <w:top w:val="single" w:sz="8" w:space="0" w:color="auto"/>
              <w:left w:val="single" w:sz="8" w:space="0" w:color="auto"/>
              <w:bottom w:val="single" w:sz="4" w:space="0" w:color="000000"/>
              <w:right w:val="single" w:sz="8" w:space="0" w:color="000000"/>
            </w:tcBorders>
            <w:shd w:val="clear" w:color="000000" w:fill="BFBFBF"/>
            <w:vAlign w:val="center"/>
            <w:hideMark/>
          </w:tcPr>
          <w:p w14:paraId="12EF555A" w14:textId="77777777" w:rsidR="002B705C" w:rsidRPr="003206B8" w:rsidRDefault="002B705C" w:rsidP="002670CE">
            <w:pPr>
              <w:spacing w:after="0" w:line="240" w:lineRule="auto"/>
              <w:jc w:val="center"/>
              <w:rPr>
                <w:rFonts w:ascii="Calibri" w:eastAsia="Times New Roman" w:hAnsi="Calibri" w:cs="Calibri"/>
                <w:b/>
                <w:bCs/>
                <w:color w:val="000000"/>
                <w:sz w:val="20"/>
                <w:szCs w:val="20"/>
                <w:lang w:eastAsia="sk-SK"/>
              </w:rPr>
            </w:pPr>
            <w:r w:rsidRPr="003B0FD1">
              <w:rPr>
                <w:rFonts w:ascii="Calibri" w:eastAsia="Times New Roman" w:hAnsi="Calibri" w:cs="Calibri"/>
                <w:bCs/>
                <w:color w:val="000000"/>
                <w:sz w:val="20"/>
                <w:szCs w:val="20"/>
                <w:lang w:eastAsia="sk-SK"/>
              </w:rPr>
              <w:t xml:space="preserve">  Dopady ZK (kód) -</w:t>
            </w:r>
            <w:r w:rsidRPr="003206B8">
              <w:rPr>
                <w:rFonts w:ascii="Calibri" w:eastAsia="Times New Roman" w:hAnsi="Calibri" w:cs="Calibri"/>
                <w:b/>
                <w:bCs/>
                <w:color w:val="000000"/>
                <w:sz w:val="20"/>
                <w:szCs w:val="20"/>
                <w:lang w:eastAsia="sk-SK"/>
              </w:rPr>
              <w:t xml:space="preserve"> Súčasná </w:t>
            </w:r>
            <w:r>
              <w:rPr>
                <w:rFonts w:ascii="Calibri" w:eastAsia="Times New Roman" w:hAnsi="Calibri" w:cs="Calibri"/>
                <w:b/>
                <w:bCs/>
                <w:color w:val="000000"/>
                <w:sz w:val="20"/>
                <w:szCs w:val="20"/>
                <w:lang w:eastAsia="sk-SK"/>
              </w:rPr>
              <w:t xml:space="preserve">klimatická </w:t>
            </w:r>
            <w:r w:rsidRPr="003206B8">
              <w:rPr>
                <w:rFonts w:ascii="Calibri" w:eastAsia="Times New Roman" w:hAnsi="Calibri" w:cs="Calibri"/>
                <w:b/>
                <w:bCs/>
                <w:color w:val="000000"/>
                <w:sz w:val="20"/>
                <w:szCs w:val="20"/>
                <w:lang w:eastAsia="sk-SK"/>
              </w:rPr>
              <w:t xml:space="preserve">zraniteľnosť </w:t>
            </w:r>
            <w:r>
              <w:rPr>
                <w:rFonts w:ascii="Calibri" w:eastAsia="Times New Roman" w:hAnsi="Calibri" w:cs="Calibri"/>
                <w:b/>
                <w:bCs/>
                <w:color w:val="000000"/>
                <w:sz w:val="20"/>
                <w:szCs w:val="20"/>
                <w:lang w:eastAsia="sk-SK"/>
              </w:rPr>
              <w:t>produktov</w:t>
            </w:r>
            <w:r w:rsidRPr="003206B8">
              <w:rPr>
                <w:rFonts w:ascii="Calibri" w:eastAsia="Times New Roman" w:hAnsi="Calibri" w:cs="Calibri"/>
                <w:b/>
                <w:bCs/>
                <w:color w:val="000000"/>
                <w:sz w:val="20"/>
                <w:szCs w:val="20"/>
                <w:lang w:eastAsia="sk-SK"/>
              </w:rPr>
              <w:t xml:space="preserve"> CR (a)</w:t>
            </w:r>
          </w:p>
        </w:tc>
        <w:tc>
          <w:tcPr>
            <w:tcW w:w="993" w:type="dxa"/>
            <w:vMerge w:val="restart"/>
            <w:tcBorders>
              <w:top w:val="single" w:sz="4" w:space="0" w:color="auto"/>
              <w:left w:val="nil"/>
              <w:bottom w:val="single" w:sz="4" w:space="0" w:color="000000"/>
              <w:right w:val="single" w:sz="4" w:space="0" w:color="auto"/>
            </w:tcBorders>
            <w:shd w:val="clear" w:color="000000" w:fill="BFBFBF"/>
            <w:vAlign w:val="center"/>
            <w:hideMark/>
          </w:tcPr>
          <w:p w14:paraId="02AA09AF" w14:textId="77777777" w:rsidR="002B705C" w:rsidRPr="003206B8" w:rsidRDefault="002B705C" w:rsidP="002670CE">
            <w:pPr>
              <w:spacing w:after="0" w:line="240" w:lineRule="auto"/>
              <w:jc w:val="center"/>
              <w:rPr>
                <w:rFonts w:ascii="Calibri" w:eastAsia="Times New Roman" w:hAnsi="Calibri" w:cs="Calibri"/>
                <w:b/>
                <w:bCs/>
                <w:color w:val="000000"/>
                <w:sz w:val="20"/>
                <w:szCs w:val="20"/>
                <w:lang w:eastAsia="sk-SK"/>
              </w:rPr>
            </w:pPr>
            <w:r w:rsidRPr="003206B8">
              <w:rPr>
                <w:rFonts w:ascii="Calibri" w:eastAsia="Times New Roman" w:hAnsi="Calibri" w:cs="Calibri"/>
                <w:b/>
                <w:bCs/>
                <w:color w:val="000000"/>
                <w:sz w:val="20"/>
                <w:szCs w:val="20"/>
                <w:lang w:eastAsia="sk-SK"/>
              </w:rPr>
              <w:t>Dopyt po turistick</w:t>
            </w:r>
            <w:r>
              <w:rPr>
                <w:rFonts w:ascii="Calibri" w:eastAsia="Times New Roman" w:hAnsi="Calibri" w:cs="Calibri"/>
                <w:b/>
                <w:bCs/>
                <w:color w:val="000000"/>
                <w:sz w:val="20"/>
                <w:szCs w:val="20"/>
                <w:lang w:eastAsia="sk-SK"/>
              </w:rPr>
              <w:t>om</w:t>
            </w:r>
            <w:r w:rsidRPr="003206B8">
              <w:rPr>
                <w:rFonts w:ascii="Calibri" w:eastAsia="Times New Roman" w:hAnsi="Calibri" w:cs="Calibri"/>
                <w:b/>
                <w:bCs/>
                <w:color w:val="000000"/>
                <w:sz w:val="20"/>
                <w:szCs w:val="20"/>
                <w:lang w:eastAsia="sk-SK"/>
              </w:rPr>
              <w:t xml:space="preserve"> p</w:t>
            </w:r>
            <w:r>
              <w:rPr>
                <w:rFonts w:ascii="Calibri" w:eastAsia="Times New Roman" w:hAnsi="Calibri" w:cs="Calibri"/>
                <w:b/>
                <w:bCs/>
                <w:color w:val="000000"/>
                <w:sz w:val="20"/>
                <w:szCs w:val="20"/>
                <w:lang w:eastAsia="sk-SK"/>
              </w:rPr>
              <w:t>rodukte</w:t>
            </w:r>
            <w:r w:rsidRPr="003206B8">
              <w:rPr>
                <w:rFonts w:ascii="Calibri" w:eastAsia="Times New Roman" w:hAnsi="Calibri" w:cs="Calibri"/>
                <w:b/>
                <w:bCs/>
                <w:color w:val="000000"/>
                <w:sz w:val="20"/>
                <w:szCs w:val="20"/>
                <w:lang w:eastAsia="sk-SK"/>
              </w:rPr>
              <w:t xml:space="preserve">  (b)</w:t>
            </w:r>
          </w:p>
        </w:tc>
        <w:tc>
          <w:tcPr>
            <w:tcW w:w="1275"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50422397" w14:textId="77777777" w:rsidR="002B705C" w:rsidRPr="003206B8" w:rsidRDefault="002B705C" w:rsidP="002670CE">
            <w:pPr>
              <w:spacing w:after="0" w:line="240" w:lineRule="auto"/>
              <w:jc w:val="center"/>
              <w:rPr>
                <w:rFonts w:ascii="Calibri" w:eastAsia="Times New Roman" w:hAnsi="Calibri" w:cs="Calibri"/>
                <w:b/>
                <w:bCs/>
                <w:color w:val="000000"/>
                <w:sz w:val="20"/>
                <w:szCs w:val="20"/>
                <w:lang w:eastAsia="sk-SK"/>
              </w:rPr>
            </w:pPr>
            <w:r w:rsidRPr="003206B8">
              <w:rPr>
                <w:rFonts w:ascii="Calibri" w:eastAsia="Times New Roman" w:hAnsi="Calibri" w:cs="Calibri"/>
                <w:b/>
                <w:bCs/>
                <w:color w:val="000000"/>
                <w:sz w:val="20"/>
                <w:szCs w:val="20"/>
                <w:lang w:eastAsia="sk-SK"/>
              </w:rPr>
              <w:t>Ekonomický prínos p</w:t>
            </w:r>
            <w:r>
              <w:rPr>
                <w:rFonts w:ascii="Calibri" w:eastAsia="Times New Roman" w:hAnsi="Calibri" w:cs="Calibri"/>
                <w:b/>
                <w:bCs/>
                <w:color w:val="000000"/>
                <w:sz w:val="20"/>
                <w:szCs w:val="20"/>
                <w:lang w:eastAsia="sk-SK"/>
              </w:rPr>
              <w:t>roduktu</w:t>
            </w:r>
            <w:r w:rsidRPr="003206B8">
              <w:rPr>
                <w:rFonts w:ascii="Calibri" w:eastAsia="Times New Roman" w:hAnsi="Calibri" w:cs="Calibri"/>
                <w:b/>
                <w:bCs/>
                <w:color w:val="000000"/>
                <w:sz w:val="20"/>
                <w:szCs w:val="20"/>
                <w:lang w:eastAsia="sk-SK"/>
              </w:rPr>
              <w:t xml:space="preserve"> </w:t>
            </w:r>
            <w:r>
              <w:rPr>
                <w:rFonts w:ascii="Calibri" w:eastAsia="Times New Roman" w:hAnsi="Calibri" w:cs="Calibri"/>
                <w:b/>
                <w:bCs/>
                <w:color w:val="000000"/>
                <w:sz w:val="20"/>
                <w:szCs w:val="20"/>
                <w:lang w:eastAsia="sk-SK"/>
              </w:rPr>
              <w:t>CR</w:t>
            </w:r>
            <w:r w:rsidRPr="003206B8">
              <w:rPr>
                <w:rFonts w:ascii="Calibri" w:eastAsia="Times New Roman" w:hAnsi="Calibri" w:cs="Calibri"/>
                <w:b/>
                <w:bCs/>
                <w:color w:val="000000"/>
                <w:sz w:val="20"/>
                <w:szCs w:val="20"/>
                <w:lang w:eastAsia="sk-SK"/>
              </w:rPr>
              <w:t>-</w:t>
            </w:r>
            <w:r w:rsidRPr="003206B8">
              <w:rPr>
                <w:rFonts w:ascii="Calibri" w:eastAsia="Times New Roman" w:hAnsi="Calibri" w:cs="Calibri"/>
                <w:b/>
                <w:bCs/>
                <w:color w:val="000000"/>
                <w:sz w:val="20"/>
                <w:szCs w:val="20"/>
                <w:lang w:eastAsia="sk-SK"/>
              </w:rPr>
              <w:br/>
              <w:t xml:space="preserve">priamy </w:t>
            </w:r>
            <w:r w:rsidRPr="003206B8">
              <w:rPr>
                <w:rFonts w:ascii="Calibri" w:eastAsia="Times New Roman" w:hAnsi="Calibri" w:cs="Calibri"/>
                <w:color w:val="000000"/>
                <w:sz w:val="20"/>
                <w:szCs w:val="20"/>
                <w:lang w:eastAsia="sk-SK"/>
              </w:rPr>
              <w:t xml:space="preserve">(pracovné miesta, výber vstupného) </w:t>
            </w:r>
            <w:r w:rsidRPr="003206B8">
              <w:rPr>
                <w:rFonts w:ascii="Calibri" w:eastAsia="Times New Roman" w:hAnsi="Calibri" w:cs="Calibri"/>
                <w:b/>
                <w:bCs/>
                <w:color w:val="000000"/>
                <w:sz w:val="20"/>
                <w:szCs w:val="20"/>
                <w:lang w:eastAsia="sk-SK"/>
              </w:rPr>
              <w:t>(c)</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45C275C" w14:textId="77777777" w:rsidR="002B705C" w:rsidRDefault="002B705C" w:rsidP="002670CE">
            <w:pPr>
              <w:spacing w:after="0" w:line="240" w:lineRule="auto"/>
              <w:jc w:val="center"/>
              <w:rPr>
                <w:rFonts w:ascii="Calibri" w:eastAsia="Times New Roman" w:hAnsi="Calibri" w:cs="Calibri"/>
                <w:b/>
                <w:bCs/>
                <w:color w:val="000000"/>
                <w:sz w:val="20"/>
                <w:szCs w:val="20"/>
                <w:lang w:eastAsia="sk-SK"/>
              </w:rPr>
            </w:pPr>
            <w:r w:rsidRPr="003206B8">
              <w:rPr>
                <w:rFonts w:ascii="Calibri" w:eastAsia="Times New Roman" w:hAnsi="Calibri" w:cs="Calibri"/>
                <w:b/>
                <w:bCs/>
                <w:color w:val="000000"/>
                <w:sz w:val="20"/>
                <w:szCs w:val="20"/>
                <w:lang w:eastAsia="sk-SK"/>
              </w:rPr>
              <w:t xml:space="preserve">Významnosť </w:t>
            </w:r>
          </w:p>
          <w:p w14:paraId="2E5EB430" w14:textId="77777777" w:rsidR="002B705C" w:rsidRPr="003206B8" w:rsidRDefault="002B705C" w:rsidP="002670CE">
            <w:pPr>
              <w:spacing w:after="0" w:line="240" w:lineRule="auto"/>
              <w:jc w:val="center"/>
              <w:rPr>
                <w:rFonts w:ascii="Calibri" w:eastAsia="Times New Roman" w:hAnsi="Calibri" w:cs="Calibri"/>
                <w:b/>
                <w:bCs/>
                <w:color w:val="000000"/>
                <w:sz w:val="20"/>
                <w:szCs w:val="20"/>
                <w:lang w:eastAsia="sk-SK"/>
              </w:rPr>
            </w:pPr>
            <w:r w:rsidRPr="003206B8">
              <w:rPr>
                <w:rFonts w:ascii="Calibri" w:eastAsia="Times New Roman" w:hAnsi="Calibri" w:cs="Calibri"/>
                <w:b/>
                <w:bCs/>
                <w:color w:val="000000"/>
                <w:sz w:val="20"/>
                <w:szCs w:val="20"/>
                <w:lang w:eastAsia="sk-SK"/>
              </w:rPr>
              <w:t xml:space="preserve"> p</w:t>
            </w:r>
            <w:r>
              <w:rPr>
                <w:rFonts w:ascii="Calibri" w:eastAsia="Times New Roman" w:hAnsi="Calibri" w:cs="Calibri"/>
                <w:b/>
                <w:bCs/>
                <w:color w:val="000000"/>
                <w:sz w:val="20"/>
                <w:szCs w:val="20"/>
                <w:lang w:eastAsia="sk-SK"/>
              </w:rPr>
              <w:t xml:space="preserve">roduktu CR </w:t>
            </w:r>
            <w:r w:rsidRPr="003206B8">
              <w:rPr>
                <w:rFonts w:ascii="Calibri" w:eastAsia="Times New Roman" w:hAnsi="Calibri" w:cs="Calibri"/>
                <w:b/>
                <w:bCs/>
                <w:color w:val="000000"/>
                <w:sz w:val="20"/>
                <w:szCs w:val="20"/>
                <w:lang w:eastAsia="sk-SK"/>
              </w:rPr>
              <w:t xml:space="preserve">{(b)+(c)}/2 </w:t>
            </w:r>
            <w:r>
              <w:rPr>
                <w:rFonts w:ascii="Calibri" w:eastAsia="Times New Roman" w:hAnsi="Calibri" w:cs="Calibri"/>
                <w:b/>
                <w:bCs/>
                <w:color w:val="000000"/>
                <w:sz w:val="20"/>
                <w:szCs w:val="20"/>
                <w:lang w:eastAsia="sk-SK"/>
              </w:rPr>
              <w:t>(d)</w:t>
            </w:r>
          </w:p>
        </w:tc>
      </w:tr>
      <w:tr w:rsidR="002B705C" w:rsidRPr="003206B8" w14:paraId="6C92AFD6" w14:textId="77777777" w:rsidTr="002670CE">
        <w:trPr>
          <w:trHeight w:val="1230"/>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07D10488" w14:textId="77777777" w:rsidR="002B705C" w:rsidRPr="003206B8" w:rsidRDefault="002B705C" w:rsidP="002670CE">
            <w:pPr>
              <w:spacing w:after="0" w:line="240" w:lineRule="auto"/>
              <w:rPr>
                <w:rFonts w:ascii="Calibri" w:eastAsia="Times New Roman" w:hAnsi="Calibri" w:cs="Calibri"/>
                <w:b/>
                <w:bCs/>
                <w:color w:val="000000"/>
                <w:sz w:val="20"/>
                <w:szCs w:val="20"/>
                <w:lang w:eastAsia="sk-SK"/>
              </w:rPr>
            </w:pPr>
          </w:p>
        </w:tc>
        <w:tc>
          <w:tcPr>
            <w:tcW w:w="622" w:type="dxa"/>
            <w:vMerge/>
            <w:tcBorders>
              <w:top w:val="single" w:sz="4" w:space="0" w:color="auto"/>
              <w:left w:val="single" w:sz="4" w:space="0" w:color="auto"/>
              <w:bottom w:val="single" w:sz="4" w:space="0" w:color="auto"/>
              <w:right w:val="single" w:sz="4" w:space="0" w:color="auto"/>
            </w:tcBorders>
            <w:vAlign w:val="center"/>
            <w:hideMark/>
          </w:tcPr>
          <w:p w14:paraId="78A79458" w14:textId="77777777" w:rsidR="002B705C" w:rsidRPr="003206B8" w:rsidRDefault="002B705C" w:rsidP="002670CE">
            <w:pPr>
              <w:spacing w:after="0" w:line="240" w:lineRule="auto"/>
              <w:rPr>
                <w:rFonts w:ascii="Calibri" w:eastAsia="Times New Roman" w:hAnsi="Calibri" w:cs="Calibri"/>
                <w:b/>
                <w:bCs/>
                <w:color w:val="000000"/>
                <w:sz w:val="20"/>
                <w:szCs w:val="20"/>
                <w:lang w:eastAsia="sk-SK"/>
              </w:rPr>
            </w:pPr>
          </w:p>
        </w:tc>
        <w:tc>
          <w:tcPr>
            <w:tcW w:w="1788" w:type="dxa"/>
            <w:vMerge/>
            <w:tcBorders>
              <w:top w:val="single" w:sz="4" w:space="0" w:color="auto"/>
              <w:left w:val="single" w:sz="4" w:space="0" w:color="auto"/>
              <w:bottom w:val="single" w:sz="4" w:space="0" w:color="auto"/>
              <w:right w:val="nil"/>
            </w:tcBorders>
            <w:vAlign w:val="center"/>
            <w:hideMark/>
          </w:tcPr>
          <w:p w14:paraId="4FF2FAFB" w14:textId="77777777" w:rsidR="002B705C" w:rsidRPr="003206B8" w:rsidRDefault="002B705C" w:rsidP="002670CE">
            <w:pPr>
              <w:spacing w:after="0" w:line="240" w:lineRule="auto"/>
              <w:rPr>
                <w:rFonts w:ascii="Calibri" w:eastAsia="Times New Roman" w:hAnsi="Calibri" w:cs="Calibri"/>
                <w:b/>
                <w:bCs/>
                <w:color w:val="000000"/>
                <w:sz w:val="20"/>
                <w:szCs w:val="20"/>
                <w:lang w:eastAsia="sk-SK"/>
              </w:rPr>
            </w:pPr>
          </w:p>
        </w:tc>
        <w:tc>
          <w:tcPr>
            <w:tcW w:w="2268" w:type="dxa"/>
            <w:gridSpan w:val="2"/>
            <w:vMerge/>
            <w:tcBorders>
              <w:top w:val="single" w:sz="8" w:space="0" w:color="auto"/>
              <w:left w:val="single" w:sz="8" w:space="0" w:color="auto"/>
              <w:bottom w:val="single" w:sz="4" w:space="0" w:color="000000"/>
              <w:right w:val="single" w:sz="8" w:space="0" w:color="000000"/>
            </w:tcBorders>
            <w:vAlign w:val="center"/>
            <w:hideMark/>
          </w:tcPr>
          <w:p w14:paraId="37934607" w14:textId="77777777" w:rsidR="002B705C" w:rsidRPr="003206B8" w:rsidRDefault="002B705C" w:rsidP="002670CE">
            <w:pPr>
              <w:spacing w:after="0" w:line="240" w:lineRule="auto"/>
              <w:rPr>
                <w:rFonts w:ascii="Calibri" w:eastAsia="Times New Roman" w:hAnsi="Calibri" w:cs="Calibri"/>
                <w:b/>
                <w:bCs/>
                <w:color w:val="000000"/>
                <w:sz w:val="20"/>
                <w:szCs w:val="20"/>
                <w:lang w:eastAsia="sk-SK"/>
              </w:rPr>
            </w:pPr>
          </w:p>
        </w:tc>
        <w:tc>
          <w:tcPr>
            <w:tcW w:w="993" w:type="dxa"/>
            <w:vMerge/>
            <w:tcBorders>
              <w:top w:val="single" w:sz="4" w:space="0" w:color="auto"/>
              <w:left w:val="nil"/>
              <w:bottom w:val="single" w:sz="4" w:space="0" w:color="000000"/>
              <w:right w:val="single" w:sz="4" w:space="0" w:color="auto"/>
            </w:tcBorders>
            <w:vAlign w:val="center"/>
            <w:hideMark/>
          </w:tcPr>
          <w:p w14:paraId="27F24207" w14:textId="77777777" w:rsidR="002B705C" w:rsidRPr="003206B8" w:rsidRDefault="002B705C" w:rsidP="002670CE">
            <w:pPr>
              <w:spacing w:after="0" w:line="240" w:lineRule="auto"/>
              <w:rPr>
                <w:rFonts w:ascii="Calibri" w:eastAsia="Times New Roman" w:hAnsi="Calibri" w:cs="Calibri"/>
                <w:b/>
                <w:bCs/>
                <w:color w:val="000000"/>
                <w:sz w:val="20"/>
                <w:szCs w:val="20"/>
                <w:lang w:eastAsia="sk-SK"/>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13DBC4F6" w14:textId="77777777" w:rsidR="002B705C" w:rsidRPr="003206B8" w:rsidRDefault="002B705C" w:rsidP="002670CE">
            <w:pPr>
              <w:spacing w:after="0" w:line="240" w:lineRule="auto"/>
              <w:rPr>
                <w:rFonts w:ascii="Calibri" w:eastAsia="Times New Roman" w:hAnsi="Calibri" w:cs="Calibri"/>
                <w:b/>
                <w:bCs/>
                <w:color w:val="000000"/>
                <w:sz w:val="20"/>
                <w:szCs w:val="20"/>
                <w:lang w:eastAsia="sk-SK"/>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11FD09B" w14:textId="77777777" w:rsidR="002B705C" w:rsidRPr="003206B8" w:rsidRDefault="002B705C" w:rsidP="002670CE">
            <w:pPr>
              <w:spacing w:after="0" w:line="240" w:lineRule="auto"/>
              <w:rPr>
                <w:rFonts w:ascii="Calibri" w:eastAsia="Times New Roman" w:hAnsi="Calibri" w:cs="Calibri"/>
                <w:b/>
                <w:bCs/>
                <w:color w:val="000000"/>
                <w:sz w:val="20"/>
                <w:szCs w:val="20"/>
                <w:lang w:eastAsia="sk-SK"/>
              </w:rPr>
            </w:pPr>
          </w:p>
        </w:tc>
      </w:tr>
      <w:tr w:rsidR="002B705C" w:rsidRPr="003206B8" w14:paraId="0EF4A202" w14:textId="77777777" w:rsidTr="002670CE">
        <w:trPr>
          <w:trHeight w:val="33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2708360" w14:textId="77777777" w:rsidR="002B705C" w:rsidRPr="003206B8" w:rsidRDefault="002B705C" w:rsidP="002670CE">
            <w:pPr>
              <w:spacing w:after="0" w:line="240" w:lineRule="auto"/>
              <w:rPr>
                <w:rFonts w:ascii="Calibri" w:eastAsia="Times New Roman" w:hAnsi="Calibri" w:cs="Calibri"/>
                <w:b/>
                <w:bCs/>
                <w:color w:val="000000"/>
                <w:sz w:val="20"/>
                <w:szCs w:val="20"/>
                <w:lang w:eastAsia="sk-SK"/>
              </w:rPr>
            </w:pPr>
            <w:r w:rsidRPr="003206B8">
              <w:rPr>
                <w:rFonts w:ascii="Calibri" w:eastAsia="Times New Roman" w:hAnsi="Calibri" w:cs="Calibri"/>
                <w:b/>
                <w:bCs/>
                <w:color w:val="000000"/>
                <w:sz w:val="20"/>
                <w:szCs w:val="20"/>
                <w:lang w:eastAsia="sk-SK"/>
              </w:rPr>
              <w:t>1. Pešia turistika</w:t>
            </w:r>
          </w:p>
        </w:tc>
        <w:tc>
          <w:tcPr>
            <w:tcW w:w="622" w:type="dxa"/>
            <w:tcBorders>
              <w:top w:val="nil"/>
              <w:left w:val="nil"/>
              <w:bottom w:val="single" w:sz="4" w:space="0" w:color="auto"/>
              <w:right w:val="single" w:sz="4" w:space="0" w:color="auto"/>
            </w:tcBorders>
            <w:shd w:val="clear" w:color="auto" w:fill="auto"/>
            <w:noWrap/>
            <w:vAlign w:val="center"/>
            <w:hideMark/>
          </w:tcPr>
          <w:p w14:paraId="416CE399" w14:textId="77777777" w:rsidR="002B705C" w:rsidRPr="003206B8" w:rsidRDefault="002B705C" w:rsidP="002670CE">
            <w:pPr>
              <w:spacing w:after="0" w:line="240" w:lineRule="auto"/>
              <w:jc w:val="right"/>
              <w:rPr>
                <w:rFonts w:ascii="Calibri" w:eastAsia="Times New Roman" w:hAnsi="Calibri" w:cs="Calibri"/>
                <w:color w:val="000000"/>
                <w:sz w:val="20"/>
                <w:szCs w:val="20"/>
                <w:lang w:eastAsia="sk-SK"/>
              </w:rPr>
            </w:pPr>
            <w:r w:rsidRPr="003206B8">
              <w:rPr>
                <w:rFonts w:ascii="Calibri" w:eastAsia="Times New Roman" w:hAnsi="Calibri" w:cs="Calibri"/>
                <w:color w:val="000000"/>
                <w:sz w:val="20"/>
                <w:szCs w:val="20"/>
                <w:lang w:eastAsia="sk-SK"/>
              </w:rPr>
              <w:t>1.1</w:t>
            </w:r>
          </w:p>
        </w:tc>
        <w:tc>
          <w:tcPr>
            <w:tcW w:w="1788" w:type="dxa"/>
            <w:tcBorders>
              <w:top w:val="nil"/>
              <w:left w:val="nil"/>
              <w:bottom w:val="single" w:sz="4" w:space="0" w:color="auto"/>
              <w:right w:val="nil"/>
            </w:tcBorders>
            <w:shd w:val="clear" w:color="auto" w:fill="auto"/>
            <w:noWrap/>
            <w:vAlign w:val="center"/>
            <w:hideMark/>
          </w:tcPr>
          <w:p w14:paraId="096449BD" w14:textId="77777777" w:rsidR="002B705C" w:rsidRPr="003206B8" w:rsidRDefault="002B705C" w:rsidP="002670CE">
            <w:pPr>
              <w:spacing w:after="0" w:line="240" w:lineRule="auto"/>
              <w:rPr>
                <w:rFonts w:ascii="Calibri" w:eastAsia="Times New Roman" w:hAnsi="Calibri" w:cs="Calibri"/>
                <w:color w:val="000000"/>
                <w:sz w:val="20"/>
                <w:szCs w:val="20"/>
                <w:lang w:eastAsia="sk-SK"/>
              </w:rPr>
            </w:pPr>
            <w:r w:rsidRPr="003206B8">
              <w:rPr>
                <w:rFonts w:ascii="Calibri" w:eastAsia="Times New Roman" w:hAnsi="Calibri" w:cs="Calibri"/>
                <w:color w:val="000000"/>
                <w:sz w:val="20"/>
                <w:szCs w:val="20"/>
                <w:lang w:eastAsia="sk-SK"/>
              </w:rPr>
              <w:t>Turistika v roklinách NP SR</w:t>
            </w:r>
          </w:p>
        </w:tc>
        <w:tc>
          <w:tcPr>
            <w:tcW w:w="1842" w:type="dxa"/>
            <w:tcBorders>
              <w:top w:val="nil"/>
              <w:left w:val="single" w:sz="8" w:space="0" w:color="auto"/>
              <w:bottom w:val="single" w:sz="4" w:space="0" w:color="auto"/>
              <w:right w:val="single" w:sz="4" w:space="0" w:color="auto"/>
            </w:tcBorders>
            <w:shd w:val="clear" w:color="auto" w:fill="auto"/>
            <w:noWrap/>
            <w:vAlign w:val="center"/>
            <w:hideMark/>
          </w:tcPr>
          <w:p w14:paraId="676D9360" w14:textId="77777777" w:rsidR="002B705C" w:rsidRPr="003206B8" w:rsidRDefault="002B705C" w:rsidP="002670CE">
            <w:pPr>
              <w:spacing w:after="0" w:line="240" w:lineRule="auto"/>
              <w:rPr>
                <w:rFonts w:ascii="Calibri" w:eastAsia="Times New Roman" w:hAnsi="Calibri" w:cs="Calibri"/>
                <w:b/>
                <w:bCs/>
                <w:color w:val="C65911"/>
                <w:sz w:val="20"/>
                <w:szCs w:val="20"/>
                <w:lang w:eastAsia="sk-SK"/>
              </w:rPr>
            </w:pPr>
            <w:r w:rsidRPr="003206B8">
              <w:rPr>
                <w:rFonts w:ascii="Calibri" w:eastAsia="Times New Roman" w:hAnsi="Calibri" w:cs="Calibri"/>
                <w:b/>
                <w:bCs/>
                <w:color w:val="FF0000"/>
                <w:sz w:val="20"/>
                <w:szCs w:val="20"/>
                <w:lang w:eastAsia="sk-SK"/>
              </w:rPr>
              <w:t>A,</w:t>
            </w:r>
            <w:r w:rsidRPr="003206B8">
              <w:rPr>
                <w:rFonts w:ascii="Calibri" w:eastAsia="Times New Roman" w:hAnsi="Calibri" w:cs="Calibri"/>
                <w:b/>
                <w:bCs/>
                <w:color w:val="F4B084"/>
                <w:sz w:val="20"/>
                <w:szCs w:val="20"/>
                <w:lang w:eastAsia="sk-SK"/>
              </w:rPr>
              <w:t xml:space="preserve"> B, C,</w:t>
            </w:r>
            <w:r w:rsidRPr="003206B8">
              <w:rPr>
                <w:rFonts w:ascii="Calibri" w:eastAsia="Times New Roman" w:hAnsi="Calibri" w:cs="Calibri"/>
                <w:b/>
                <w:bCs/>
                <w:color w:val="C65911"/>
                <w:sz w:val="20"/>
                <w:szCs w:val="20"/>
                <w:lang w:eastAsia="sk-SK"/>
              </w:rPr>
              <w:t xml:space="preserve"> </w:t>
            </w:r>
            <w:r w:rsidRPr="003206B8">
              <w:rPr>
                <w:rFonts w:ascii="Calibri" w:eastAsia="Times New Roman" w:hAnsi="Calibri" w:cs="Calibri"/>
                <w:b/>
                <w:bCs/>
                <w:color w:val="FF0000"/>
                <w:sz w:val="20"/>
                <w:szCs w:val="20"/>
                <w:lang w:eastAsia="sk-SK"/>
              </w:rPr>
              <w:t>E,</w:t>
            </w:r>
            <w:r w:rsidRPr="003206B8">
              <w:rPr>
                <w:rFonts w:ascii="Calibri" w:eastAsia="Times New Roman" w:hAnsi="Calibri" w:cs="Calibri"/>
                <w:b/>
                <w:bCs/>
                <w:color w:val="F4B084"/>
                <w:sz w:val="20"/>
                <w:szCs w:val="20"/>
                <w:lang w:eastAsia="sk-SK"/>
              </w:rPr>
              <w:t xml:space="preserve"> G, </w:t>
            </w:r>
            <w:r w:rsidRPr="003206B8">
              <w:rPr>
                <w:rFonts w:ascii="Calibri" w:eastAsia="Times New Roman" w:hAnsi="Calibri" w:cs="Calibri"/>
                <w:b/>
                <w:bCs/>
                <w:color w:val="FF0000"/>
                <w:sz w:val="20"/>
                <w:szCs w:val="20"/>
                <w:lang w:eastAsia="sk-SK"/>
              </w:rPr>
              <w:t>F,</w:t>
            </w:r>
            <w:r w:rsidRPr="003206B8">
              <w:rPr>
                <w:rFonts w:ascii="Calibri" w:eastAsia="Times New Roman" w:hAnsi="Calibri" w:cs="Calibri"/>
                <w:b/>
                <w:bCs/>
                <w:color w:val="A9D08E"/>
                <w:sz w:val="20"/>
                <w:szCs w:val="20"/>
                <w:lang w:eastAsia="sk-SK"/>
              </w:rPr>
              <w:t xml:space="preserve"> </w:t>
            </w:r>
            <w:r w:rsidRPr="003206B8">
              <w:rPr>
                <w:rFonts w:ascii="Calibri" w:eastAsia="Times New Roman" w:hAnsi="Calibri" w:cs="Calibri"/>
                <w:b/>
                <w:bCs/>
                <w:color w:val="548235"/>
                <w:sz w:val="20"/>
                <w:szCs w:val="20"/>
                <w:lang w:eastAsia="sk-SK"/>
              </w:rPr>
              <w:t>J,</w:t>
            </w:r>
            <w:r w:rsidRPr="003206B8">
              <w:rPr>
                <w:rFonts w:ascii="Calibri" w:eastAsia="Times New Roman" w:hAnsi="Calibri" w:cs="Calibri"/>
                <w:b/>
                <w:bCs/>
                <w:color w:val="A9D08E"/>
                <w:sz w:val="20"/>
                <w:szCs w:val="20"/>
                <w:lang w:eastAsia="sk-SK"/>
              </w:rPr>
              <w:t xml:space="preserve"> K</w:t>
            </w:r>
          </w:p>
        </w:tc>
        <w:tc>
          <w:tcPr>
            <w:tcW w:w="426" w:type="dxa"/>
            <w:tcBorders>
              <w:top w:val="nil"/>
              <w:left w:val="nil"/>
              <w:bottom w:val="single" w:sz="4" w:space="0" w:color="auto"/>
              <w:right w:val="single" w:sz="8" w:space="0" w:color="auto"/>
            </w:tcBorders>
            <w:shd w:val="clear" w:color="000000" w:fill="FF0000"/>
            <w:noWrap/>
            <w:vAlign w:val="center"/>
            <w:hideMark/>
          </w:tcPr>
          <w:p w14:paraId="71BBC128" w14:textId="77777777" w:rsidR="002B705C" w:rsidRPr="003206B8" w:rsidRDefault="002B705C" w:rsidP="002670CE">
            <w:pPr>
              <w:spacing w:after="0" w:line="240" w:lineRule="auto"/>
              <w:jc w:val="right"/>
              <w:rPr>
                <w:rFonts w:ascii="Calibri" w:eastAsia="Times New Roman" w:hAnsi="Calibri" w:cs="Calibri"/>
                <w:b/>
                <w:bCs/>
                <w:sz w:val="20"/>
                <w:szCs w:val="20"/>
                <w:lang w:eastAsia="sk-SK"/>
              </w:rPr>
            </w:pPr>
            <w:r w:rsidRPr="003206B8">
              <w:rPr>
                <w:rFonts w:ascii="Calibri" w:eastAsia="Times New Roman" w:hAnsi="Calibri" w:cs="Calibri"/>
                <w:b/>
                <w:bCs/>
                <w:sz w:val="20"/>
                <w:szCs w:val="20"/>
                <w:lang w:eastAsia="sk-SK"/>
              </w:rPr>
              <w:t>2</w:t>
            </w:r>
          </w:p>
        </w:tc>
        <w:tc>
          <w:tcPr>
            <w:tcW w:w="993" w:type="dxa"/>
            <w:tcBorders>
              <w:top w:val="nil"/>
              <w:left w:val="nil"/>
              <w:bottom w:val="single" w:sz="4" w:space="0" w:color="auto"/>
              <w:right w:val="single" w:sz="4" w:space="0" w:color="auto"/>
            </w:tcBorders>
            <w:shd w:val="clear" w:color="auto" w:fill="auto"/>
            <w:noWrap/>
            <w:vAlign w:val="center"/>
            <w:hideMark/>
          </w:tcPr>
          <w:p w14:paraId="4AEE2254" w14:textId="77777777" w:rsidR="002B705C" w:rsidRPr="003206B8" w:rsidRDefault="002B705C" w:rsidP="002670CE">
            <w:pPr>
              <w:spacing w:after="0" w:line="240" w:lineRule="auto"/>
              <w:jc w:val="right"/>
              <w:rPr>
                <w:rFonts w:ascii="Calibri" w:eastAsia="Times New Roman" w:hAnsi="Calibri" w:cs="Calibri"/>
                <w:b/>
                <w:bCs/>
                <w:sz w:val="20"/>
                <w:szCs w:val="20"/>
                <w:lang w:eastAsia="sk-SK"/>
              </w:rPr>
            </w:pPr>
            <w:r w:rsidRPr="003206B8">
              <w:rPr>
                <w:rFonts w:ascii="Calibri" w:eastAsia="Times New Roman" w:hAnsi="Calibri" w:cs="Calibri"/>
                <w:b/>
                <w:bCs/>
                <w:sz w:val="20"/>
                <w:szCs w:val="20"/>
                <w:lang w:eastAsia="sk-SK"/>
              </w:rPr>
              <w:t>3</w:t>
            </w:r>
          </w:p>
        </w:tc>
        <w:tc>
          <w:tcPr>
            <w:tcW w:w="1275" w:type="dxa"/>
            <w:tcBorders>
              <w:top w:val="nil"/>
              <w:left w:val="nil"/>
              <w:bottom w:val="single" w:sz="4" w:space="0" w:color="auto"/>
              <w:right w:val="single" w:sz="4" w:space="0" w:color="auto"/>
            </w:tcBorders>
            <w:shd w:val="clear" w:color="auto" w:fill="auto"/>
            <w:noWrap/>
            <w:vAlign w:val="center"/>
            <w:hideMark/>
          </w:tcPr>
          <w:p w14:paraId="2CA7C1AA" w14:textId="77777777" w:rsidR="002B705C" w:rsidRPr="003206B8" w:rsidRDefault="002B705C" w:rsidP="002670CE">
            <w:pPr>
              <w:spacing w:after="0" w:line="240" w:lineRule="auto"/>
              <w:jc w:val="right"/>
              <w:rPr>
                <w:rFonts w:ascii="Calibri" w:eastAsia="Times New Roman" w:hAnsi="Calibri" w:cs="Calibri"/>
                <w:color w:val="000000"/>
                <w:sz w:val="20"/>
                <w:szCs w:val="20"/>
                <w:lang w:eastAsia="sk-SK"/>
              </w:rPr>
            </w:pPr>
            <w:r w:rsidRPr="003206B8">
              <w:rPr>
                <w:rFonts w:ascii="Calibri" w:eastAsia="Times New Roman" w:hAnsi="Calibri" w:cs="Calibri"/>
                <w:color w:val="000000"/>
                <w:sz w:val="20"/>
                <w:szCs w:val="20"/>
                <w:lang w:eastAsia="sk-SK"/>
              </w:rPr>
              <w:t>3</w:t>
            </w:r>
          </w:p>
        </w:tc>
        <w:tc>
          <w:tcPr>
            <w:tcW w:w="1276" w:type="dxa"/>
            <w:tcBorders>
              <w:top w:val="nil"/>
              <w:left w:val="nil"/>
              <w:bottom w:val="single" w:sz="4" w:space="0" w:color="auto"/>
              <w:right w:val="single" w:sz="4" w:space="0" w:color="auto"/>
            </w:tcBorders>
            <w:shd w:val="clear" w:color="000000" w:fill="2F75B5"/>
            <w:noWrap/>
            <w:vAlign w:val="center"/>
            <w:hideMark/>
          </w:tcPr>
          <w:p w14:paraId="3ABD65BC" w14:textId="77777777" w:rsidR="002B705C" w:rsidRPr="003206B8" w:rsidRDefault="002B705C" w:rsidP="002670CE">
            <w:pPr>
              <w:spacing w:after="0" w:line="240" w:lineRule="auto"/>
              <w:jc w:val="right"/>
              <w:rPr>
                <w:rFonts w:ascii="Calibri" w:eastAsia="Times New Roman" w:hAnsi="Calibri" w:cs="Calibri"/>
                <w:b/>
                <w:bCs/>
                <w:color w:val="000000"/>
                <w:sz w:val="20"/>
                <w:szCs w:val="20"/>
                <w:lang w:eastAsia="sk-SK"/>
              </w:rPr>
            </w:pPr>
            <w:r w:rsidRPr="003206B8">
              <w:rPr>
                <w:rFonts w:ascii="Calibri" w:eastAsia="Times New Roman" w:hAnsi="Calibri" w:cs="Calibri"/>
                <w:b/>
                <w:bCs/>
                <w:color w:val="000000"/>
                <w:sz w:val="20"/>
                <w:szCs w:val="20"/>
                <w:lang w:eastAsia="sk-SK"/>
              </w:rPr>
              <w:t>3,0</w:t>
            </w:r>
          </w:p>
        </w:tc>
      </w:tr>
      <w:tr w:rsidR="002B705C" w:rsidRPr="003206B8" w14:paraId="4C000A71" w14:textId="77777777" w:rsidTr="002670CE">
        <w:trPr>
          <w:trHeight w:val="105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9F7EFDB" w14:textId="77777777" w:rsidR="002B705C" w:rsidRPr="003206B8" w:rsidRDefault="002B705C" w:rsidP="002670CE">
            <w:pPr>
              <w:spacing w:after="0" w:line="240" w:lineRule="auto"/>
              <w:rPr>
                <w:rFonts w:ascii="Calibri" w:eastAsia="Times New Roman" w:hAnsi="Calibri" w:cs="Calibri"/>
                <w:b/>
                <w:bCs/>
                <w:color w:val="000000"/>
                <w:sz w:val="20"/>
                <w:szCs w:val="20"/>
                <w:lang w:eastAsia="sk-SK"/>
              </w:rPr>
            </w:pPr>
            <w:r w:rsidRPr="003206B8">
              <w:rPr>
                <w:rFonts w:ascii="Calibri" w:eastAsia="Times New Roman" w:hAnsi="Calibri" w:cs="Calibri"/>
                <w:b/>
                <w:bCs/>
                <w:color w:val="000000"/>
                <w:sz w:val="20"/>
                <w:szCs w:val="20"/>
                <w:lang w:eastAsia="sk-SK"/>
              </w:rPr>
              <w:t> </w:t>
            </w:r>
          </w:p>
        </w:tc>
        <w:tc>
          <w:tcPr>
            <w:tcW w:w="622" w:type="dxa"/>
            <w:tcBorders>
              <w:top w:val="nil"/>
              <w:left w:val="nil"/>
              <w:bottom w:val="single" w:sz="4" w:space="0" w:color="auto"/>
              <w:right w:val="single" w:sz="4" w:space="0" w:color="auto"/>
            </w:tcBorders>
            <w:shd w:val="clear" w:color="auto" w:fill="auto"/>
            <w:noWrap/>
            <w:vAlign w:val="center"/>
            <w:hideMark/>
          </w:tcPr>
          <w:p w14:paraId="17B98931" w14:textId="77777777" w:rsidR="002B705C" w:rsidRPr="003206B8" w:rsidRDefault="002B705C" w:rsidP="002670CE">
            <w:pPr>
              <w:spacing w:after="0" w:line="240" w:lineRule="auto"/>
              <w:jc w:val="right"/>
              <w:rPr>
                <w:rFonts w:ascii="Calibri" w:eastAsia="Times New Roman" w:hAnsi="Calibri" w:cs="Calibri"/>
                <w:color w:val="000000"/>
                <w:sz w:val="20"/>
                <w:szCs w:val="20"/>
                <w:lang w:eastAsia="sk-SK"/>
              </w:rPr>
            </w:pPr>
            <w:r w:rsidRPr="003206B8">
              <w:rPr>
                <w:rFonts w:ascii="Calibri" w:eastAsia="Times New Roman" w:hAnsi="Calibri" w:cs="Calibri"/>
                <w:color w:val="000000"/>
                <w:sz w:val="20"/>
                <w:szCs w:val="20"/>
                <w:lang w:eastAsia="sk-SK"/>
              </w:rPr>
              <w:t>1.2</w:t>
            </w:r>
          </w:p>
        </w:tc>
        <w:tc>
          <w:tcPr>
            <w:tcW w:w="1788" w:type="dxa"/>
            <w:tcBorders>
              <w:top w:val="nil"/>
              <w:left w:val="nil"/>
              <w:bottom w:val="single" w:sz="4" w:space="0" w:color="auto"/>
              <w:right w:val="nil"/>
            </w:tcBorders>
            <w:shd w:val="clear" w:color="auto" w:fill="auto"/>
            <w:hideMark/>
          </w:tcPr>
          <w:p w14:paraId="43D0CE1B" w14:textId="77777777" w:rsidR="002B705C" w:rsidRPr="003206B8" w:rsidRDefault="002B705C" w:rsidP="002670CE">
            <w:pPr>
              <w:spacing w:after="0" w:line="240" w:lineRule="auto"/>
              <w:rPr>
                <w:rFonts w:ascii="Calibri" w:eastAsia="Times New Roman" w:hAnsi="Calibri" w:cs="Calibri"/>
                <w:color w:val="000000"/>
                <w:sz w:val="20"/>
                <w:szCs w:val="20"/>
                <w:lang w:eastAsia="sk-SK"/>
              </w:rPr>
            </w:pPr>
            <w:r w:rsidRPr="003206B8">
              <w:rPr>
                <w:rFonts w:ascii="Calibri" w:eastAsia="Times New Roman" w:hAnsi="Calibri" w:cs="Calibri"/>
                <w:color w:val="000000"/>
                <w:sz w:val="20"/>
                <w:szCs w:val="20"/>
                <w:lang w:eastAsia="sk-SK"/>
              </w:rPr>
              <w:t>Turistka mimo roklín NP SR (vrátane trás náučných chodníkov a</w:t>
            </w:r>
            <w:r w:rsidRPr="003206B8">
              <w:rPr>
                <w:rFonts w:ascii="Calibri" w:eastAsia="Times New Roman" w:hAnsi="Calibri" w:cs="Calibri"/>
                <w:color w:val="000000"/>
                <w:sz w:val="20"/>
                <w:szCs w:val="20"/>
                <w:lang w:eastAsia="sk-SK"/>
              </w:rPr>
              <w:br/>
              <w:t>nordic walking)</w:t>
            </w:r>
          </w:p>
        </w:tc>
        <w:tc>
          <w:tcPr>
            <w:tcW w:w="1842" w:type="dxa"/>
            <w:tcBorders>
              <w:top w:val="nil"/>
              <w:left w:val="single" w:sz="8" w:space="0" w:color="auto"/>
              <w:bottom w:val="single" w:sz="4" w:space="0" w:color="auto"/>
              <w:right w:val="single" w:sz="4" w:space="0" w:color="auto"/>
            </w:tcBorders>
            <w:shd w:val="clear" w:color="auto" w:fill="auto"/>
            <w:noWrap/>
            <w:vAlign w:val="center"/>
            <w:hideMark/>
          </w:tcPr>
          <w:p w14:paraId="3C7FA937" w14:textId="77777777" w:rsidR="002B705C" w:rsidRPr="003206B8" w:rsidRDefault="002B705C" w:rsidP="002670CE">
            <w:pPr>
              <w:spacing w:after="0" w:line="240" w:lineRule="auto"/>
              <w:rPr>
                <w:rFonts w:ascii="Calibri" w:eastAsia="Times New Roman" w:hAnsi="Calibri" w:cs="Calibri"/>
                <w:b/>
                <w:bCs/>
                <w:color w:val="C65911"/>
                <w:sz w:val="20"/>
                <w:szCs w:val="20"/>
                <w:lang w:eastAsia="sk-SK"/>
              </w:rPr>
            </w:pPr>
            <w:r w:rsidRPr="003206B8">
              <w:rPr>
                <w:rFonts w:ascii="Calibri" w:eastAsia="Times New Roman" w:hAnsi="Calibri" w:cs="Calibri"/>
                <w:b/>
                <w:bCs/>
                <w:color w:val="F4B084"/>
                <w:sz w:val="20"/>
                <w:szCs w:val="20"/>
                <w:lang w:eastAsia="sk-SK"/>
              </w:rPr>
              <w:t>B, C,</w:t>
            </w:r>
            <w:r w:rsidRPr="003206B8">
              <w:rPr>
                <w:rFonts w:ascii="Calibri" w:eastAsia="Times New Roman" w:hAnsi="Calibri" w:cs="Calibri"/>
                <w:b/>
                <w:bCs/>
                <w:color w:val="C65911"/>
                <w:sz w:val="20"/>
                <w:szCs w:val="20"/>
                <w:lang w:eastAsia="sk-SK"/>
              </w:rPr>
              <w:t xml:space="preserve"> </w:t>
            </w:r>
            <w:r w:rsidRPr="003206B8">
              <w:rPr>
                <w:rFonts w:ascii="Calibri" w:eastAsia="Times New Roman" w:hAnsi="Calibri" w:cs="Calibri"/>
                <w:b/>
                <w:bCs/>
                <w:color w:val="FF0000"/>
                <w:sz w:val="20"/>
                <w:szCs w:val="20"/>
                <w:lang w:eastAsia="sk-SK"/>
              </w:rPr>
              <w:t>E,</w:t>
            </w:r>
            <w:r w:rsidRPr="003206B8">
              <w:rPr>
                <w:rFonts w:ascii="Calibri" w:eastAsia="Times New Roman" w:hAnsi="Calibri" w:cs="Calibri"/>
                <w:b/>
                <w:bCs/>
                <w:color w:val="F4B084"/>
                <w:sz w:val="20"/>
                <w:szCs w:val="20"/>
                <w:lang w:eastAsia="sk-SK"/>
              </w:rPr>
              <w:t xml:space="preserve"> G, </w:t>
            </w:r>
            <w:r w:rsidRPr="003206B8">
              <w:rPr>
                <w:rFonts w:ascii="Calibri" w:eastAsia="Times New Roman" w:hAnsi="Calibri" w:cs="Calibri"/>
                <w:b/>
                <w:bCs/>
                <w:color w:val="FF0000"/>
                <w:sz w:val="20"/>
                <w:szCs w:val="20"/>
                <w:lang w:eastAsia="sk-SK"/>
              </w:rPr>
              <w:t>F,</w:t>
            </w:r>
            <w:r w:rsidRPr="003206B8">
              <w:rPr>
                <w:rFonts w:ascii="Calibri" w:eastAsia="Times New Roman" w:hAnsi="Calibri" w:cs="Calibri"/>
                <w:b/>
                <w:bCs/>
                <w:color w:val="F4B084"/>
                <w:sz w:val="20"/>
                <w:szCs w:val="20"/>
                <w:lang w:eastAsia="sk-SK"/>
              </w:rPr>
              <w:t xml:space="preserve"> H,</w:t>
            </w:r>
            <w:r w:rsidRPr="003206B8">
              <w:rPr>
                <w:rFonts w:ascii="Calibri" w:eastAsia="Times New Roman" w:hAnsi="Calibri" w:cs="Calibri"/>
                <w:b/>
                <w:bCs/>
                <w:color w:val="A9D08E"/>
                <w:sz w:val="20"/>
                <w:szCs w:val="20"/>
                <w:lang w:eastAsia="sk-SK"/>
              </w:rPr>
              <w:t xml:space="preserve"> </w:t>
            </w:r>
            <w:r w:rsidRPr="003206B8">
              <w:rPr>
                <w:rFonts w:ascii="Calibri" w:eastAsia="Times New Roman" w:hAnsi="Calibri" w:cs="Calibri"/>
                <w:b/>
                <w:bCs/>
                <w:color w:val="548235"/>
                <w:sz w:val="20"/>
                <w:szCs w:val="20"/>
                <w:lang w:eastAsia="sk-SK"/>
              </w:rPr>
              <w:t>J, K</w:t>
            </w:r>
          </w:p>
        </w:tc>
        <w:tc>
          <w:tcPr>
            <w:tcW w:w="426" w:type="dxa"/>
            <w:tcBorders>
              <w:top w:val="nil"/>
              <w:left w:val="nil"/>
              <w:bottom w:val="single" w:sz="4" w:space="0" w:color="auto"/>
              <w:right w:val="single" w:sz="8" w:space="0" w:color="auto"/>
            </w:tcBorders>
            <w:shd w:val="clear" w:color="000000" w:fill="F4B084"/>
            <w:noWrap/>
            <w:vAlign w:val="center"/>
            <w:hideMark/>
          </w:tcPr>
          <w:p w14:paraId="088B80CB" w14:textId="77777777" w:rsidR="002B705C" w:rsidRPr="003206B8" w:rsidRDefault="002B705C" w:rsidP="002670CE">
            <w:pPr>
              <w:spacing w:after="0" w:line="240" w:lineRule="auto"/>
              <w:jc w:val="right"/>
              <w:rPr>
                <w:rFonts w:ascii="Calibri" w:eastAsia="Times New Roman" w:hAnsi="Calibri" w:cs="Calibri"/>
                <w:b/>
                <w:bCs/>
                <w:sz w:val="20"/>
                <w:szCs w:val="20"/>
                <w:lang w:eastAsia="sk-SK"/>
              </w:rPr>
            </w:pPr>
            <w:r w:rsidRPr="003206B8">
              <w:rPr>
                <w:rFonts w:ascii="Calibri" w:eastAsia="Times New Roman" w:hAnsi="Calibri" w:cs="Calibri"/>
                <w:b/>
                <w:bCs/>
                <w:sz w:val="20"/>
                <w:szCs w:val="20"/>
                <w:lang w:eastAsia="sk-SK"/>
              </w:rPr>
              <w:t>1</w:t>
            </w:r>
          </w:p>
        </w:tc>
        <w:tc>
          <w:tcPr>
            <w:tcW w:w="993" w:type="dxa"/>
            <w:tcBorders>
              <w:top w:val="nil"/>
              <w:left w:val="nil"/>
              <w:bottom w:val="single" w:sz="4" w:space="0" w:color="auto"/>
              <w:right w:val="single" w:sz="4" w:space="0" w:color="auto"/>
            </w:tcBorders>
            <w:shd w:val="clear" w:color="auto" w:fill="auto"/>
            <w:noWrap/>
            <w:vAlign w:val="center"/>
            <w:hideMark/>
          </w:tcPr>
          <w:p w14:paraId="6AD8AF1B" w14:textId="77777777" w:rsidR="002B705C" w:rsidRPr="003206B8" w:rsidRDefault="002B705C" w:rsidP="002670CE">
            <w:pPr>
              <w:spacing w:after="0" w:line="240" w:lineRule="auto"/>
              <w:jc w:val="right"/>
              <w:rPr>
                <w:rFonts w:ascii="Calibri" w:eastAsia="Times New Roman" w:hAnsi="Calibri" w:cs="Calibri"/>
                <w:b/>
                <w:bCs/>
                <w:sz w:val="20"/>
                <w:szCs w:val="20"/>
                <w:lang w:eastAsia="sk-SK"/>
              </w:rPr>
            </w:pPr>
            <w:r w:rsidRPr="003206B8">
              <w:rPr>
                <w:rFonts w:ascii="Calibri" w:eastAsia="Times New Roman" w:hAnsi="Calibri" w:cs="Calibri"/>
                <w:b/>
                <w:bCs/>
                <w:sz w:val="20"/>
                <w:szCs w:val="20"/>
                <w:lang w:eastAsia="sk-SK"/>
              </w:rPr>
              <w:t>2</w:t>
            </w:r>
          </w:p>
        </w:tc>
        <w:tc>
          <w:tcPr>
            <w:tcW w:w="1275" w:type="dxa"/>
            <w:tcBorders>
              <w:top w:val="nil"/>
              <w:left w:val="nil"/>
              <w:bottom w:val="single" w:sz="4" w:space="0" w:color="auto"/>
              <w:right w:val="single" w:sz="4" w:space="0" w:color="auto"/>
            </w:tcBorders>
            <w:shd w:val="clear" w:color="auto" w:fill="auto"/>
            <w:noWrap/>
            <w:vAlign w:val="center"/>
            <w:hideMark/>
          </w:tcPr>
          <w:p w14:paraId="15C283F7" w14:textId="77777777" w:rsidR="002B705C" w:rsidRPr="003206B8" w:rsidRDefault="002B705C" w:rsidP="002670CE">
            <w:pPr>
              <w:spacing w:after="0" w:line="240" w:lineRule="auto"/>
              <w:jc w:val="right"/>
              <w:rPr>
                <w:rFonts w:ascii="Calibri" w:eastAsia="Times New Roman" w:hAnsi="Calibri" w:cs="Calibri"/>
                <w:color w:val="000000"/>
                <w:sz w:val="20"/>
                <w:szCs w:val="20"/>
                <w:lang w:eastAsia="sk-SK"/>
              </w:rPr>
            </w:pPr>
            <w:r w:rsidRPr="003206B8">
              <w:rPr>
                <w:rFonts w:ascii="Calibri" w:eastAsia="Times New Roman" w:hAnsi="Calibri" w:cs="Calibri"/>
                <w:color w:val="000000"/>
                <w:sz w:val="20"/>
                <w:szCs w:val="20"/>
                <w:lang w:eastAsia="sk-SK"/>
              </w:rPr>
              <w:t>1</w:t>
            </w:r>
          </w:p>
        </w:tc>
        <w:tc>
          <w:tcPr>
            <w:tcW w:w="1276" w:type="dxa"/>
            <w:tcBorders>
              <w:top w:val="nil"/>
              <w:left w:val="nil"/>
              <w:bottom w:val="single" w:sz="4" w:space="0" w:color="auto"/>
              <w:right w:val="single" w:sz="4" w:space="0" w:color="auto"/>
            </w:tcBorders>
            <w:shd w:val="clear" w:color="000000" w:fill="9BC2E6"/>
            <w:noWrap/>
            <w:vAlign w:val="center"/>
            <w:hideMark/>
          </w:tcPr>
          <w:p w14:paraId="624D5699" w14:textId="77777777" w:rsidR="002B705C" w:rsidRPr="003206B8" w:rsidRDefault="002B705C" w:rsidP="002670CE">
            <w:pPr>
              <w:spacing w:after="0" w:line="240" w:lineRule="auto"/>
              <w:jc w:val="right"/>
              <w:rPr>
                <w:rFonts w:ascii="Calibri" w:eastAsia="Times New Roman" w:hAnsi="Calibri" w:cs="Calibri"/>
                <w:b/>
                <w:bCs/>
                <w:color w:val="000000"/>
                <w:sz w:val="20"/>
                <w:szCs w:val="20"/>
                <w:lang w:eastAsia="sk-SK"/>
              </w:rPr>
            </w:pPr>
            <w:r w:rsidRPr="003206B8">
              <w:rPr>
                <w:rFonts w:ascii="Calibri" w:eastAsia="Times New Roman" w:hAnsi="Calibri" w:cs="Calibri"/>
                <w:b/>
                <w:bCs/>
                <w:color w:val="000000"/>
                <w:sz w:val="20"/>
                <w:szCs w:val="20"/>
                <w:lang w:eastAsia="sk-SK"/>
              </w:rPr>
              <w:t>1,5</w:t>
            </w:r>
          </w:p>
        </w:tc>
      </w:tr>
      <w:tr w:rsidR="002B705C" w:rsidRPr="003206B8" w14:paraId="0BCFEE78" w14:textId="77777777" w:rsidTr="002670CE">
        <w:trPr>
          <w:trHeight w:val="34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89D693E" w14:textId="77777777" w:rsidR="002B705C" w:rsidRPr="003206B8" w:rsidRDefault="002B705C" w:rsidP="002670CE">
            <w:pPr>
              <w:spacing w:after="0" w:line="240" w:lineRule="auto"/>
              <w:rPr>
                <w:rFonts w:ascii="Calibri" w:eastAsia="Times New Roman" w:hAnsi="Calibri" w:cs="Calibri"/>
                <w:b/>
                <w:bCs/>
                <w:color w:val="000000"/>
                <w:sz w:val="20"/>
                <w:szCs w:val="20"/>
                <w:lang w:eastAsia="sk-SK"/>
              </w:rPr>
            </w:pPr>
            <w:r w:rsidRPr="003206B8">
              <w:rPr>
                <w:rFonts w:ascii="Calibri" w:eastAsia="Times New Roman" w:hAnsi="Calibri" w:cs="Calibri"/>
                <w:b/>
                <w:bCs/>
                <w:color w:val="000000"/>
                <w:sz w:val="20"/>
                <w:szCs w:val="20"/>
                <w:lang w:eastAsia="sk-SK"/>
              </w:rPr>
              <w:t>2. Návšteva jas</w:t>
            </w:r>
            <w:r>
              <w:rPr>
                <w:rFonts w:ascii="Calibri" w:eastAsia="Times New Roman" w:hAnsi="Calibri" w:cs="Calibri"/>
                <w:b/>
                <w:bCs/>
                <w:color w:val="000000"/>
                <w:sz w:val="20"/>
                <w:szCs w:val="20"/>
                <w:lang w:eastAsia="sk-SK"/>
              </w:rPr>
              <w:t>k</w:t>
            </w:r>
            <w:r w:rsidRPr="003206B8">
              <w:rPr>
                <w:rFonts w:ascii="Calibri" w:eastAsia="Times New Roman" w:hAnsi="Calibri" w:cs="Calibri"/>
                <w:b/>
                <w:bCs/>
                <w:color w:val="000000"/>
                <w:sz w:val="20"/>
                <w:szCs w:val="20"/>
                <w:lang w:eastAsia="sk-SK"/>
              </w:rPr>
              <w:t>ýň</w:t>
            </w:r>
          </w:p>
        </w:tc>
        <w:tc>
          <w:tcPr>
            <w:tcW w:w="622" w:type="dxa"/>
            <w:tcBorders>
              <w:top w:val="nil"/>
              <w:left w:val="nil"/>
              <w:bottom w:val="single" w:sz="4" w:space="0" w:color="auto"/>
              <w:right w:val="single" w:sz="4" w:space="0" w:color="auto"/>
            </w:tcBorders>
            <w:shd w:val="clear" w:color="auto" w:fill="auto"/>
            <w:noWrap/>
            <w:vAlign w:val="center"/>
            <w:hideMark/>
          </w:tcPr>
          <w:p w14:paraId="09DB4159" w14:textId="77777777" w:rsidR="002B705C" w:rsidRPr="003206B8" w:rsidRDefault="002B705C" w:rsidP="002670CE">
            <w:pPr>
              <w:spacing w:after="0" w:line="240" w:lineRule="auto"/>
              <w:rPr>
                <w:rFonts w:ascii="Calibri" w:eastAsia="Times New Roman" w:hAnsi="Calibri" w:cs="Calibri"/>
                <w:color w:val="000000"/>
                <w:sz w:val="20"/>
                <w:szCs w:val="20"/>
                <w:lang w:eastAsia="sk-SK"/>
              </w:rPr>
            </w:pPr>
            <w:r w:rsidRPr="003206B8">
              <w:rPr>
                <w:rFonts w:ascii="Calibri" w:eastAsia="Times New Roman" w:hAnsi="Calibri" w:cs="Calibri"/>
                <w:color w:val="000000"/>
                <w:sz w:val="20"/>
                <w:szCs w:val="20"/>
                <w:lang w:eastAsia="sk-SK"/>
              </w:rPr>
              <w:t> </w:t>
            </w:r>
          </w:p>
        </w:tc>
        <w:tc>
          <w:tcPr>
            <w:tcW w:w="1788" w:type="dxa"/>
            <w:tcBorders>
              <w:top w:val="nil"/>
              <w:left w:val="nil"/>
              <w:bottom w:val="single" w:sz="4" w:space="0" w:color="auto"/>
              <w:right w:val="nil"/>
            </w:tcBorders>
            <w:shd w:val="clear" w:color="auto" w:fill="auto"/>
            <w:noWrap/>
            <w:vAlign w:val="center"/>
            <w:hideMark/>
          </w:tcPr>
          <w:p w14:paraId="3B66B44C" w14:textId="77777777" w:rsidR="002B705C" w:rsidRPr="003206B8" w:rsidRDefault="002B705C" w:rsidP="002670CE">
            <w:pPr>
              <w:spacing w:after="0" w:line="240" w:lineRule="auto"/>
              <w:rPr>
                <w:rFonts w:ascii="Calibri" w:eastAsia="Times New Roman" w:hAnsi="Calibri" w:cs="Calibri"/>
                <w:color w:val="000000"/>
                <w:sz w:val="20"/>
                <w:szCs w:val="20"/>
                <w:lang w:eastAsia="sk-SK"/>
              </w:rPr>
            </w:pPr>
            <w:r w:rsidRPr="003206B8">
              <w:rPr>
                <w:rFonts w:ascii="Calibri" w:eastAsia="Times New Roman" w:hAnsi="Calibri" w:cs="Calibri"/>
                <w:color w:val="000000"/>
                <w:sz w:val="20"/>
                <w:szCs w:val="20"/>
                <w:lang w:eastAsia="sk-SK"/>
              </w:rPr>
              <w:t> </w:t>
            </w:r>
          </w:p>
        </w:tc>
        <w:tc>
          <w:tcPr>
            <w:tcW w:w="1842" w:type="dxa"/>
            <w:tcBorders>
              <w:top w:val="nil"/>
              <w:left w:val="single" w:sz="8" w:space="0" w:color="auto"/>
              <w:bottom w:val="single" w:sz="4" w:space="0" w:color="auto"/>
              <w:right w:val="single" w:sz="4" w:space="0" w:color="auto"/>
            </w:tcBorders>
            <w:shd w:val="clear" w:color="auto" w:fill="auto"/>
            <w:noWrap/>
            <w:vAlign w:val="center"/>
            <w:hideMark/>
          </w:tcPr>
          <w:p w14:paraId="6E1F8D97" w14:textId="77777777" w:rsidR="002B705C" w:rsidRPr="003206B8" w:rsidRDefault="002B705C" w:rsidP="002670CE">
            <w:pPr>
              <w:spacing w:after="0" w:line="240" w:lineRule="auto"/>
              <w:rPr>
                <w:rFonts w:ascii="Calibri" w:eastAsia="Times New Roman" w:hAnsi="Calibri" w:cs="Calibri"/>
                <w:b/>
                <w:bCs/>
                <w:color w:val="C65911"/>
                <w:sz w:val="20"/>
                <w:szCs w:val="20"/>
                <w:lang w:eastAsia="sk-SK"/>
              </w:rPr>
            </w:pPr>
            <w:r w:rsidRPr="003206B8">
              <w:rPr>
                <w:rFonts w:ascii="Calibri" w:eastAsia="Times New Roman" w:hAnsi="Calibri" w:cs="Calibri"/>
                <w:b/>
                <w:bCs/>
                <w:color w:val="F4B084"/>
                <w:sz w:val="20"/>
                <w:szCs w:val="20"/>
                <w:lang w:eastAsia="sk-SK"/>
              </w:rPr>
              <w:t xml:space="preserve">F, G, H, I, </w:t>
            </w:r>
            <w:r w:rsidRPr="003206B8">
              <w:rPr>
                <w:rFonts w:ascii="Calibri" w:eastAsia="Times New Roman" w:hAnsi="Calibri" w:cs="Calibri"/>
                <w:b/>
                <w:bCs/>
                <w:color w:val="548235"/>
                <w:sz w:val="20"/>
                <w:szCs w:val="20"/>
                <w:lang w:eastAsia="sk-SK"/>
              </w:rPr>
              <w:t>J,</w:t>
            </w:r>
            <w:r w:rsidRPr="003206B8">
              <w:rPr>
                <w:rFonts w:ascii="Calibri" w:eastAsia="Times New Roman" w:hAnsi="Calibri" w:cs="Calibri"/>
                <w:b/>
                <w:bCs/>
                <w:color w:val="A9D08E"/>
                <w:sz w:val="20"/>
                <w:szCs w:val="20"/>
                <w:lang w:eastAsia="sk-SK"/>
              </w:rPr>
              <w:t xml:space="preserve"> K</w:t>
            </w:r>
          </w:p>
        </w:tc>
        <w:tc>
          <w:tcPr>
            <w:tcW w:w="426" w:type="dxa"/>
            <w:tcBorders>
              <w:top w:val="nil"/>
              <w:left w:val="nil"/>
              <w:bottom w:val="single" w:sz="4" w:space="0" w:color="auto"/>
              <w:right w:val="single" w:sz="8" w:space="0" w:color="auto"/>
            </w:tcBorders>
            <w:shd w:val="clear" w:color="000000" w:fill="FFF2CC"/>
            <w:noWrap/>
            <w:vAlign w:val="center"/>
            <w:hideMark/>
          </w:tcPr>
          <w:p w14:paraId="4B87CCB8" w14:textId="77777777" w:rsidR="002B705C" w:rsidRPr="003206B8" w:rsidRDefault="002B705C" w:rsidP="002670CE">
            <w:pPr>
              <w:spacing w:after="0" w:line="240" w:lineRule="auto"/>
              <w:jc w:val="right"/>
              <w:rPr>
                <w:rFonts w:ascii="Calibri" w:eastAsia="Times New Roman" w:hAnsi="Calibri" w:cs="Calibri"/>
                <w:b/>
                <w:bCs/>
                <w:sz w:val="20"/>
                <w:szCs w:val="20"/>
                <w:lang w:eastAsia="sk-SK"/>
              </w:rPr>
            </w:pPr>
            <w:r w:rsidRPr="003206B8">
              <w:rPr>
                <w:rFonts w:ascii="Calibri" w:eastAsia="Times New Roman" w:hAnsi="Calibri" w:cs="Calibri"/>
                <w:b/>
                <w:bCs/>
                <w:sz w:val="20"/>
                <w:szCs w:val="20"/>
                <w:lang w:eastAsia="sk-SK"/>
              </w:rPr>
              <w:t>0</w:t>
            </w:r>
          </w:p>
        </w:tc>
        <w:tc>
          <w:tcPr>
            <w:tcW w:w="993" w:type="dxa"/>
            <w:tcBorders>
              <w:top w:val="nil"/>
              <w:left w:val="nil"/>
              <w:bottom w:val="single" w:sz="4" w:space="0" w:color="auto"/>
              <w:right w:val="single" w:sz="4" w:space="0" w:color="auto"/>
            </w:tcBorders>
            <w:shd w:val="clear" w:color="auto" w:fill="auto"/>
            <w:noWrap/>
            <w:vAlign w:val="center"/>
            <w:hideMark/>
          </w:tcPr>
          <w:p w14:paraId="33C59A38" w14:textId="77777777" w:rsidR="002B705C" w:rsidRPr="003206B8" w:rsidRDefault="002B705C" w:rsidP="002670CE">
            <w:pPr>
              <w:spacing w:after="0" w:line="240" w:lineRule="auto"/>
              <w:jc w:val="right"/>
              <w:rPr>
                <w:rFonts w:ascii="Calibri" w:eastAsia="Times New Roman" w:hAnsi="Calibri" w:cs="Calibri"/>
                <w:b/>
                <w:bCs/>
                <w:sz w:val="20"/>
                <w:szCs w:val="20"/>
                <w:lang w:eastAsia="sk-SK"/>
              </w:rPr>
            </w:pPr>
            <w:r w:rsidRPr="003206B8">
              <w:rPr>
                <w:rFonts w:ascii="Calibri" w:eastAsia="Times New Roman" w:hAnsi="Calibri" w:cs="Calibri"/>
                <w:b/>
                <w:bCs/>
                <w:sz w:val="20"/>
                <w:szCs w:val="20"/>
                <w:lang w:eastAsia="sk-SK"/>
              </w:rPr>
              <w:t>3</w:t>
            </w:r>
          </w:p>
        </w:tc>
        <w:tc>
          <w:tcPr>
            <w:tcW w:w="1275" w:type="dxa"/>
            <w:tcBorders>
              <w:top w:val="nil"/>
              <w:left w:val="nil"/>
              <w:bottom w:val="single" w:sz="4" w:space="0" w:color="auto"/>
              <w:right w:val="single" w:sz="4" w:space="0" w:color="auto"/>
            </w:tcBorders>
            <w:shd w:val="clear" w:color="auto" w:fill="auto"/>
            <w:noWrap/>
            <w:vAlign w:val="center"/>
            <w:hideMark/>
          </w:tcPr>
          <w:p w14:paraId="3EBA14FC" w14:textId="77777777" w:rsidR="002B705C" w:rsidRPr="003206B8" w:rsidRDefault="002B705C" w:rsidP="002670CE">
            <w:pPr>
              <w:spacing w:after="0" w:line="240" w:lineRule="auto"/>
              <w:jc w:val="right"/>
              <w:rPr>
                <w:rFonts w:ascii="Calibri" w:eastAsia="Times New Roman" w:hAnsi="Calibri" w:cs="Calibri"/>
                <w:color w:val="000000"/>
                <w:sz w:val="20"/>
                <w:szCs w:val="20"/>
                <w:lang w:eastAsia="sk-SK"/>
              </w:rPr>
            </w:pPr>
            <w:r w:rsidRPr="003206B8">
              <w:rPr>
                <w:rFonts w:ascii="Calibri" w:eastAsia="Times New Roman" w:hAnsi="Calibri" w:cs="Calibri"/>
                <w:color w:val="000000"/>
                <w:sz w:val="20"/>
                <w:szCs w:val="20"/>
                <w:lang w:eastAsia="sk-SK"/>
              </w:rPr>
              <w:t>3</w:t>
            </w:r>
          </w:p>
        </w:tc>
        <w:tc>
          <w:tcPr>
            <w:tcW w:w="1276" w:type="dxa"/>
            <w:tcBorders>
              <w:top w:val="nil"/>
              <w:left w:val="nil"/>
              <w:bottom w:val="single" w:sz="4" w:space="0" w:color="auto"/>
              <w:right w:val="single" w:sz="4" w:space="0" w:color="auto"/>
            </w:tcBorders>
            <w:shd w:val="clear" w:color="000000" w:fill="2F75B5"/>
            <w:noWrap/>
            <w:vAlign w:val="center"/>
            <w:hideMark/>
          </w:tcPr>
          <w:p w14:paraId="03C3DBB2" w14:textId="77777777" w:rsidR="002B705C" w:rsidRPr="003206B8" w:rsidRDefault="002B705C" w:rsidP="002670CE">
            <w:pPr>
              <w:spacing w:after="0" w:line="240" w:lineRule="auto"/>
              <w:jc w:val="right"/>
              <w:rPr>
                <w:rFonts w:ascii="Calibri" w:eastAsia="Times New Roman" w:hAnsi="Calibri" w:cs="Calibri"/>
                <w:b/>
                <w:bCs/>
                <w:color w:val="000000"/>
                <w:sz w:val="20"/>
                <w:szCs w:val="20"/>
                <w:lang w:eastAsia="sk-SK"/>
              </w:rPr>
            </w:pPr>
            <w:r w:rsidRPr="003206B8">
              <w:rPr>
                <w:rFonts w:ascii="Calibri" w:eastAsia="Times New Roman" w:hAnsi="Calibri" w:cs="Calibri"/>
                <w:b/>
                <w:bCs/>
                <w:color w:val="000000"/>
                <w:sz w:val="20"/>
                <w:szCs w:val="20"/>
                <w:lang w:eastAsia="sk-SK"/>
              </w:rPr>
              <w:t>3,0</w:t>
            </w:r>
          </w:p>
        </w:tc>
      </w:tr>
      <w:tr w:rsidR="002B705C" w:rsidRPr="003206B8" w14:paraId="4B7548FA" w14:textId="77777777" w:rsidTr="002670CE">
        <w:trPr>
          <w:trHeight w:val="34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2FC2AEA" w14:textId="77777777" w:rsidR="002B705C" w:rsidRPr="003206B8" w:rsidRDefault="002B705C" w:rsidP="002670CE">
            <w:pPr>
              <w:spacing w:after="0" w:line="240" w:lineRule="auto"/>
              <w:rPr>
                <w:rFonts w:ascii="Calibri" w:eastAsia="Times New Roman" w:hAnsi="Calibri" w:cs="Calibri"/>
                <w:b/>
                <w:bCs/>
                <w:color w:val="000000"/>
                <w:sz w:val="20"/>
                <w:szCs w:val="20"/>
                <w:lang w:eastAsia="sk-SK"/>
              </w:rPr>
            </w:pPr>
            <w:r w:rsidRPr="003206B8">
              <w:rPr>
                <w:rFonts w:ascii="Calibri" w:eastAsia="Times New Roman" w:hAnsi="Calibri" w:cs="Calibri"/>
                <w:b/>
                <w:bCs/>
                <w:color w:val="000000"/>
                <w:sz w:val="20"/>
                <w:szCs w:val="20"/>
                <w:lang w:eastAsia="sk-SK"/>
              </w:rPr>
              <w:t>3. Cykloturistika</w:t>
            </w:r>
          </w:p>
        </w:tc>
        <w:tc>
          <w:tcPr>
            <w:tcW w:w="622" w:type="dxa"/>
            <w:tcBorders>
              <w:top w:val="nil"/>
              <w:left w:val="nil"/>
              <w:bottom w:val="single" w:sz="4" w:space="0" w:color="auto"/>
              <w:right w:val="single" w:sz="4" w:space="0" w:color="auto"/>
            </w:tcBorders>
            <w:shd w:val="clear" w:color="auto" w:fill="auto"/>
            <w:noWrap/>
            <w:vAlign w:val="center"/>
            <w:hideMark/>
          </w:tcPr>
          <w:p w14:paraId="5F072B1F" w14:textId="77777777" w:rsidR="002B705C" w:rsidRPr="003206B8" w:rsidRDefault="002B705C" w:rsidP="002670CE">
            <w:pPr>
              <w:spacing w:after="0" w:line="240" w:lineRule="auto"/>
              <w:rPr>
                <w:rFonts w:ascii="Calibri" w:eastAsia="Times New Roman" w:hAnsi="Calibri" w:cs="Calibri"/>
                <w:color w:val="000000"/>
                <w:sz w:val="20"/>
                <w:szCs w:val="20"/>
                <w:lang w:eastAsia="sk-SK"/>
              </w:rPr>
            </w:pPr>
            <w:r w:rsidRPr="003206B8">
              <w:rPr>
                <w:rFonts w:ascii="Calibri" w:eastAsia="Times New Roman" w:hAnsi="Calibri" w:cs="Calibri"/>
                <w:color w:val="000000"/>
                <w:sz w:val="20"/>
                <w:szCs w:val="20"/>
                <w:lang w:eastAsia="sk-SK"/>
              </w:rPr>
              <w:t> </w:t>
            </w:r>
          </w:p>
        </w:tc>
        <w:tc>
          <w:tcPr>
            <w:tcW w:w="1788" w:type="dxa"/>
            <w:tcBorders>
              <w:top w:val="nil"/>
              <w:left w:val="nil"/>
              <w:bottom w:val="single" w:sz="4" w:space="0" w:color="auto"/>
              <w:right w:val="nil"/>
            </w:tcBorders>
            <w:shd w:val="clear" w:color="auto" w:fill="auto"/>
            <w:noWrap/>
            <w:vAlign w:val="center"/>
            <w:hideMark/>
          </w:tcPr>
          <w:p w14:paraId="310E357B" w14:textId="77777777" w:rsidR="002B705C" w:rsidRPr="003206B8" w:rsidRDefault="002B705C" w:rsidP="002670CE">
            <w:pPr>
              <w:spacing w:after="0" w:line="240" w:lineRule="auto"/>
              <w:rPr>
                <w:rFonts w:ascii="Calibri" w:eastAsia="Times New Roman" w:hAnsi="Calibri" w:cs="Calibri"/>
                <w:color w:val="000000"/>
                <w:sz w:val="20"/>
                <w:szCs w:val="20"/>
                <w:lang w:eastAsia="sk-SK"/>
              </w:rPr>
            </w:pPr>
            <w:r w:rsidRPr="003206B8">
              <w:rPr>
                <w:rFonts w:ascii="Calibri" w:eastAsia="Times New Roman" w:hAnsi="Calibri" w:cs="Calibri"/>
                <w:color w:val="000000"/>
                <w:sz w:val="20"/>
                <w:szCs w:val="20"/>
                <w:lang w:eastAsia="sk-SK"/>
              </w:rPr>
              <w:t> </w:t>
            </w:r>
          </w:p>
        </w:tc>
        <w:tc>
          <w:tcPr>
            <w:tcW w:w="1842" w:type="dxa"/>
            <w:tcBorders>
              <w:top w:val="nil"/>
              <w:left w:val="single" w:sz="8" w:space="0" w:color="auto"/>
              <w:bottom w:val="single" w:sz="4" w:space="0" w:color="auto"/>
              <w:right w:val="single" w:sz="4" w:space="0" w:color="auto"/>
            </w:tcBorders>
            <w:shd w:val="clear" w:color="auto" w:fill="auto"/>
            <w:noWrap/>
            <w:vAlign w:val="center"/>
            <w:hideMark/>
          </w:tcPr>
          <w:p w14:paraId="092674C5" w14:textId="77777777" w:rsidR="002B705C" w:rsidRPr="003206B8" w:rsidRDefault="002B705C" w:rsidP="002670CE">
            <w:pPr>
              <w:spacing w:after="0" w:line="240" w:lineRule="auto"/>
              <w:rPr>
                <w:rFonts w:ascii="Calibri" w:eastAsia="Times New Roman" w:hAnsi="Calibri" w:cs="Calibri"/>
                <w:b/>
                <w:bCs/>
                <w:color w:val="F4B084"/>
                <w:sz w:val="20"/>
                <w:szCs w:val="20"/>
                <w:lang w:eastAsia="sk-SK"/>
              </w:rPr>
            </w:pPr>
            <w:r w:rsidRPr="003206B8">
              <w:rPr>
                <w:rFonts w:ascii="Calibri" w:eastAsia="Times New Roman" w:hAnsi="Calibri" w:cs="Calibri"/>
                <w:b/>
                <w:bCs/>
                <w:color w:val="FF0000"/>
                <w:sz w:val="20"/>
                <w:szCs w:val="20"/>
                <w:lang w:eastAsia="sk-SK"/>
              </w:rPr>
              <w:t xml:space="preserve">D, </w:t>
            </w:r>
            <w:r w:rsidRPr="003206B8">
              <w:rPr>
                <w:rFonts w:ascii="Calibri" w:eastAsia="Times New Roman" w:hAnsi="Calibri" w:cs="Calibri"/>
                <w:b/>
                <w:bCs/>
                <w:color w:val="F4B084"/>
                <w:sz w:val="20"/>
                <w:szCs w:val="20"/>
                <w:lang w:eastAsia="sk-SK"/>
              </w:rPr>
              <w:t xml:space="preserve">F, G, H, </w:t>
            </w:r>
            <w:r w:rsidRPr="003206B8">
              <w:rPr>
                <w:rFonts w:ascii="Calibri" w:eastAsia="Times New Roman" w:hAnsi="Calibri" w:cs="Calibri"/>
                <w:b/>
                <w:bCs/>
                <w:color w:val="548235"/>
                <w:sz w:val="20"/>
                <w:szCs w:val="20"/>
                <w:lang w:eastAsia="sk-SK"/>
              </w:rPr>
              <w:t>J,</w:t>
            </w:r>
            <w:r w:rsidRPr="003206B8">
              <w:rPr>
                <w:rFonts w:ascii="Calibri" w:eastAsia="Times New Roman" w:hAnsi="Calibri" w:cs="Calibri"/>
                <w:b/>
                <w:bCs/>
                <w:color w:val="A9D08E"/>
                <w:sz w:val="20"/>
                <w:szCs w:val="20"/>
                <w:lang w:eastAsia="sk-SK"/>
              </w:rPr>
              <w:t xml:space="preserve"> K</w:t>
            </w:r>
          </w:p>
        </w:tc>
        <w:tc>
          <w:tcPr>
            <w:tcW w:w="426" w:type="dxa"/>
            <w:tcBorders>
              <w:top w:val="nil"/>
              <w:left w:val="nil"/>
              <w:bottom w:val="single" w:sz="4" w:space="0" w:color="auto"/>
              <w:right w:val="single" w:sz="8" w:space="0" w:color="auto"/>
            </w:tcBorders>
            <w:shd w:val="clear" w:color="000000" w:fill="F4B084"/>
            <w:noWrap/>
            <w:vAlign w:val="center"/>
            <w:hideMark/>
          </w:tcPr>
          <w:p w14:paraId="235A6F2D" w14:textId="77777777" w:rsidR="002B705C" w:rsidRPr="003206B8" w:rsidRDefault="002B705C" w:rsidP="002670CE">
            <w:pPr>
              <w:spacing w:after="0" w:line="240" w:lineRule="auto"/>
              <w:jc w:val="right"/>
              <w:rPr>
                <w:rFonts w:ascii="Calibri" w:eastAsia="Times New Roman" w:hAnsi="Calibri" w:cs="Calibri"/>
                <w:b/>
                <w:bCs/>
                <w:sz w:val="20"/>
                <w:szCs w:val="20"/>
                <w:lang w:eastAsia="sk-SK"/>
              </w:rPr>
            </w:pPr>
            <w:r w:rsidRPr="003206B8">
              <w:rPr>
                <w:rFonts w:ascii="Calibri" w:eastAsia="Times New Roman" w:hAnsi="Calibri" w:cs="Calibri"/>
                <w:b/>
                <w:bCs/>
                <w:sz w:val="20"/>
                <w:szCs w:val="20"/>
                <w:lang w:eastAsia="sk-SK"/>
              </w:rPr>
              <w:t>1</w:t>
            </w:r>
          </w:p>
        </w:tc>
        <w:tc>
          <w:tcPr>
            <w:tcW w:w="993" w:type="dxa"/>
            <w:tcBorders>
              <w:top w:val="nil"/>
              <w:left w:val="nil"/>
              <w:bottom w:val="single" w:sz="4" w:space="0" w:color="auto"/>
              <w:right w:val="single" w:sz="4" w:space="0" w:color="auto"/>
            </w:tcBorders>
            <w:shd w:val="clear" w:color="auto" w:fill="auto"/>
            <w:noWrap/>
            <w:vAlign w:val="center"/>
            <w:hideMark/>
          </w:tcPr>
          <w:p w14:paraId="5F67E15F" w14:textId="77777777" w:rsidR="002B705C" w:rsidRPr="003206B8" w:rsidRDefault="002B705C" w:rsidP="002670CE">
            <w:pPr>
              <w:spacing w:after="0" w:line="240" w:lineRule="auto"/>
              <w:jc w:val="right"/>
              <w:rPr>
                <w:rFonts w:ascii="Calibri" w:eastAsia="Times New Roman" w:hAnsi="Calibri" w:cs="Calibri"/>
                <w:b/>
                <w:bCs/>
                <w:sz w:val="20"/>
                <w:szCs w:val="20"/>
                <w:lang w:eastAsia="sk-SK"/>
              </w:rPr>
            </w:pPr>
            <w:r w:rsidRPr="003206B8">
              <w:rPr>
                <w:rFonts w:ascii="Calibri" w:eastAsia="Times New Roman" w:hAnsi="Calibri" w:cs="Calibri"/>
                <w:b/>
                <w:bCs/>
                <w:sz w:val="20"/>
                <w:szCs w:val="20"/>
                <w:lang w:eastAsia="sk-SK"/>
              </w:rPr>
              <w:t>2</w:t>
            </w:r>
          </w:p>
        </w:tc>
        <w:tc>
          <w:tcPr>
            <w:tcW w:w="1275" w:type="dxa"/>
            <w:tcBorders>
              <w:top w:val="nil"/>
              <w:left w:val="nil"/>
              <w:bottom w:val="single" w:sz="4" w:space="0" w:color="auto"/>
              <w:right w:val="single" w:sz="4" w:space="0" w:color="auto"/>
            </w:tcBorders>
            <w:shd w:val="clear" w:color="auto" w:fill="auto"/>
            <w:noWrap/>
            <w:vAlign w:val="center"/>
            <w:hideMark/>
          </w:tcPr>
          <w:p w14:paraId="2F3DD30D" w14:textId="77777777" w:rsidR="002B705C" w:rsidRPr="003206B8" w:rsidRDefault="002B705C" w:rsidP="002670CE">
            <w:pPr>
              <w:spacing w:after="0" w:line="240" w:lineRule="auto"/>
              <w:jc w:val="right"/>
              <w:rPr>
                <w:rFonts w:ascii="Calibri" w:eastAsia="Times New Roman" w:hAnsi="Calibri" w:cs="Calibri"/>
                <w:color w:val="000000"/>
                <w:sz w:val="20"/>
                <w:szCs w:val="20"/>
                <w:lang w:eastAsia="sk-SK"/>
              </w:rPr>
            </w:pPr>
            <w:r w:rsidRPr="003206B8">
              <w:rPr>
                <w:rFonts w:ascii="Calibri" w:eastAsia="Times New Roman" w:hAnsi="Calibri" w:cs="Calibri"/>
                <w:color w:val="000000"/>
                <w:sz w:val="20"/>
                <w:szCs w:val="20"/>
                <w:lang w:eastAsia="sk-SK"/>
              </w:rPr>
              <w:t>1</w:t>
            </w:r>
          </w:p>
        </w:tc>
        <w:tc>
          <w:tcPr>
            <w:tcW w:w="1276" w:type="dxa"/>
            <w:tcBorders>
              <w:top w:val="nil"/>
              <w:left w:val="nil"/>
              <w:bottom w:val="single" w:sz="4" w:space="0" w:color="auto"/>
              <w:right w:val="single" w:sz="4" w:space="0" w:color="auto"/>
            </w:tcBorders>
            <w:shd w:val="clear" w:color="000000" w:fill="9BC2E6"/>
            <w:noWrap/>
            <w:vAlign w:val="center"/>
            <w:hideMark/>
          </w:tcPr>
          <w:p w14:paraId="71D675E2" w14:textId="77777777" w:rsidR="002B705C" w:rsidRPr="003206B8" w:rsidRDefault="002B705C" w:rsidP="002670CE">
            <w:pPr>
              <w:spacing w:after="0" w:line="240" w:lineRule="auto"/>
              <w:jc w:val="right"/>
              <w:rPr>
                <w:rFonts w:ascii="Calibri" w:eastAsia="Times New Roman" w:hAnsi="Calibri" w:cs="Calibri"/>
                <w:b/>
                <w:bCs/>
                <w:color w:val="000000"/>
                <w:sz w:val="20"/>
                <w:szCs w:val="20"/>
                <w:lang w:eastAsia="sk-SK"/>
              </w:rPr>
            </w:pPr>
            <w:r w:rsidRPr="003206B8">
              <w:rPr>
                <w:rFonts w:ascii="Calibri" w:eastAsia="Times New Roman" w:hAnsi="Calibri" w:cs="Calibri"/>
                <w:b/>
                <w:bCs/>
                <w:color w:val="000000"/>
                <w:sz w:val="20"/>
                <w:szCs w:val="20"/>
                <w:lang w:eastAsia="sk-SK"/>
              </w:rPr>
              <w:t>1,5</w:t>
            </w:r>
          </w:p>
        </w:tc>
      </w:tr>
      <w:tr w:rsidR="002B705C" w:rsidRPr="003206B8" w14:paraId="4AC550CB" w14:textId="77777777" w:rsidTr="002670CE">
        <w:trPr>
          <w:trHeight w:val="34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D7D6B9F" w14:textId="77777777" w:rsidR="002B705C" w:rsidRPr="003206B8" w:rsidRDefault="002B705C" w:rsidP="002670CE">
            <w:pPr>
              <w:spacing w:after="0" w:line="240" w:lineRule="auto"/>
              <w:rPr>
                <w:rFonts w:ascii="Calibri" w:eastAsia="Times New Roman" w:hAnsi="Calibri" w:cs="Calibri"/>
                <w:b/>
                <w:bCs/>
                <w:color w:val="000000"/>
                <w:sz w:val="20"/>
                <w:szCs w:val="20"/>
                <w:lang w:eastAsia="sk-SK"/>
              </w:rPr>
            </w:pPr>
            <w:r w:rsidRPr="003206B8">
              <w:rPr>
                <w:rFonts w:ascii="Calibri" w:eastAsia="Times New Roman" w:hAnsi="Calibri" w:cs="Calibri"/>
                <w:b/>
                <w:bCs/>
                <w:color w:val="000000"/>
                <w:sz w:val="20"/>
                <w:szCs w:val="20"/>
                <w:lang w:eastAsia="sk-SK"/>
              </w:rPr>
              <w:t>4. Hipoturistika</w:t>
            </w:r>
          </w:p>
        </w:tc>
        <w:tc>
          <w:tcPr>
            <w:tcW w:w="622" w:type="dxa"/>
            <w:tcBorders>
              <w:top w:val="nil"/>
              <w:left w:val="nil"/>
              <w:bottom w:val="single" w:sz="4" w:space="0" w:color="auto"/>
              <w:right w:val="single" w:sz="4" w:space="0" w:color="auto"/>
            </w:tcBorders>
            <w:shd w:val="clear" w:color="auto" w:fill="auto"/>
            <w:noWrap/>
            <w:vAlign w:val="center"/>
            <w:hideMark/>
          </w:tcPr>
          <w:p w14:paraId="7F969391" w14:textId="77777777" w:rsidR="002B705C" w:rsidRPr="003206B8" w:rsidRDefault="002B705C" w:rsidP="002670CE">
            <w:pPr>
              <w:spacing w:after="0" w:line="240" w:lineRule="auto"/>
              <w:rPr>
                <w:rFonts w:ascii="Calibri" w:eastAsia="Times New Roman" w:hAnsi="Calibri" w:cs="Calibri"/>
                <w:color w:val="000000"/>
                <w:sz w:val="20"/>
                <w:szCs w:val="20"/>
                <w:lang w:eastAsia="sk-SK"/>
              </w:rPr>
            </w:pPr>
            <w:r w:rsidRPr="003206B8">
              <w:rPr>
                <w:rFonts w:ascii="Calibri" w:eastAsia="Times New Roman" w:hAnsi="Calibri" w:cs="Calibri"/>
                <w:color w:val="000000"/>
                <w:sz w:val="20"/>
                <w:szCs w:val="20"/>
                <w:lang w:eastAsia="sk-SK"/>
              </w:rPr>
              <w:t> </w:t>
            </w:r>
          </w:p>
        </w:tc>
        <w:tc>
          <w:tcPr>
            <w:tcW w:w="1788" w:type="dxa"/>
            <w:tcBorders>
              <w:top w:val="nil"/>
              <w:left w:val="nil"/>
              <w:bottom w:val="single" w:sz="4" w:space="0" w:color="auto"/>
              <w:right w:val="nil"/>
            </w:tcBorders>
            <w:shd w:val="clear" w:color="auto" w:fill="auto"/>
            <w:noWrap/>
            <w:vAlign w:val="center"/>
            <w:hideMark/>
          </w:tcPr>
          <w:p w14:paraId="4EA81597" w14:textId="77777777" w:rsidR="002B705C" w:rsidRPr="003206B8" w:rsidRDefault="002B705C" w:rsidP="002670CE">
            <w:pPr>
              <w:spacing w:after="0" w:line="240" w:lineRule="auto"/>
              <w:rPr>
                <w:rFonts w:ascii="Calibri" w:eastAsia="Times New Roman" w:hAnsi="Calibri" w:cs="Calibri"/>
                <w:color w:val="000000"/>
                <w:sz w:val="20"/>
                <w:szCs w:val="20"/>
                <w:lang w:eastAsia="sk-SK"/>
              </w:rPr>
            </w:pPr>
            <w:r w:rsidRPr="003206B8">
              <w:rPr>
                <w:rFonts w:ascii="Calibri" w:eastAsia="Times New Roman" w:hAnsi="Calibri" w:cs="Calibri"/>
                <w:color w:val="000000"/>
                <w:sz w:val="20"/>
                <w:szCs w:val="20"/>
                <w:lang w:eastAsia="sk-SK"/>
              </w:rPr>
              <w:t> </w:t>
            </w:r>
          </w:p>
        </w:tc>
        <w:tc>
          <w:tcPr>
            <w:tcW w:w="1842" w:type="dxa"/>
            <w:tcBorders>
              <w:top w:val="nil"/>
              <w:left w:val="single" w:sz="8" w:space="0" w:color="auto"/>
              <w:bottom w:val="single" w:sz="4" w:space="0" w:color="auto"/>
              <w:right w:val="single" w:sz="4" w:space="0" w:color="auto"/>
            </w:tcBorders>
            <w:shd w:val="clear" w:color="auto" w:fill="auto"/>
            <w:noWrap/>
            <w:vAlign w:val="center"/>
            <w:hideMark/>
          </w:tcPr>
          <w:p w14:paraId="21511BB2" w14:textId="77777777" w:rsidR="002B705C" w:rsidRPr="003206B8" w:rsidRDefault="002B705C" w:rsidP="002670CE">
            <w:pPr>
              <w:spacing w:after="0" w:line="240" w:lineRule="auto"/>
              <w:rPr>
                <w:rFonts w:ascii="Calibri" w:eastAsia="Times New Roman" w:hAnsi="Calibri" w:cs="Calibri"/>
                <w:b/>
                <w:bCs/>
                <w:color w:val="000000"/>
                <w:sz w:val="20"/>
                <w:szCs w:val="20"/>
                <w:lang w:eastAsia="sk-SK"/>
              </w:rPr>
            </w:pPr>
            <w:r w:rsidRPr="003206B8">
              <w:rPr>
                <w:rFonts w:ascii="Calibri" w:eastAsia="Times New Roman" w:hAnsi="Calibri" w:cs="Calibri"/>
                <w:b/>
                <w:bCs/>
                <w:color w:val="F4B084"/>
                <w:sz w:val="20"/>
                <w:szCs w:val="20"/>
                <w:lang w:eastAsia="sk-SK"/>
              </w:rPr>
              <w:t xml:space="preserve">B, C, </w:t>
            </w:r>
            <w:r w:rsidRPr="003206B8">
              <w:rPr>
                <w:rFonts w:ascii="Calibri" w:eastAsia="Times New Roman" w:hAnsi="Calibri" w:cs="Calibri"/>
                <w:b/>
                <w:bCs/>
                <w:color w:val="FF0000"/>
                <w:sz w:val="20"/>
                <w:szCs w:val="20"/>
                <w:lang w:eastAsia="sk-SK"/>
              </w:rPr>
              <w:t>D</w:t>
            </w:r>
            <w:r w:rsidRPr="003206B8">
              <w:rPr>
                <w:rFonts w:ascii="Calibri" w:eastAsia="Times New Roman" w:hAnsi="Calibri" w:cs="Calibri"/>
                <w:b/>
                <w:bCs/>
                <w:color w:val="F4B084"/>
                <w:sz w:val="20"/>
                <w:szCs w:val="20"/>
                <w:lang w:eastAsia="sk-SK"/>
              </w:rPr>
              <w:t xml:space="preserve">, E, </w:t>
            </w:r>
            <w:r w:rsidRPr="003206B8">
              <w:rPr>
                <w:rFonts w:ascii="Calibri" w:eastAsia="Times New Roman" w:hAnsi="Calibri" w:cs="Calibri"/>
                <w:b/>
                <w:bCs/>
                <w:color w:val="FF0000"/>
                <w:sz w:val="20"/>
                <w:szCs w:val="20"/>
                <w:lang w:eastAsia="sk-SK"/>
              </w:rPr>
              <w:t>F,</w:t>
            </w:r>
            <w:r w:rsidRPr="003206B8">
              <w:rPr>
                <w:rFonts w:ascii="Calibri" w:eastAsia="Times New Roman" w:hAnsi="Calibri" w:cs="Calibri"/>
                <w:b/>
                <w:bCs/>
                <w:color w:val="F4B084"/>
                <w:sz w:val="20"/>
                <w:szCs w:val="20"/>
                <w:lang w:eastAsia="sk-SK"/>
              </w:rPr>
              <w:t xml:space="preserve"> G, H,</w:t>
            </w:r>
            <w:r w:rsidRPr="003206B8">
              <w:rPr>
                <w:rFonts w:ascii="Calibri" w:eastAsia="Times New Roman" w:hAnsi="Calibri" w:cs="Calibri"/>
                <w:b/>
                <w:bCs/>
                <w:color w:val="548235"/>
                <w:sz w:val="20"/>
                <w:szCs w:val="20"/>
                <w:lang w:eastAsia="sk-SK"/>
              </w:rPr>
              <w:t xml:space="preserve"> J,</w:t>
            </w:r>
            <w:r w:rsidRPr="003206B8">
              <w:rPr>
                <w:rFonts w:ascii="Calibri" w:eastAsia="Times New Roman" w:hAnsi="Calibri" w:cs="Calibri"/>
                <w:b/>
                <w:bCs/>
                <w:color w:val="A9D08E"/>
                <w:sz w:val="20"/>
                <w:szCs w:val="20"/>
                <w:lang w:eastAsia="sk-SK"/>
              </w:rPr>
              <w:t xml:space="preserve"> K</w:t>
            </w:r>
          </w:p>
        </w:tc>
        <w:tc>
          <w:tcPr>
            <w:tcW w:w="426" w:type="dxa"/>
            <w:tcBorders>
              <w:top w:val="nil"/>
              <w:left w:val="nil"/>
              <w:bottom w:val="single" w:sz="4" w:space="0" w:color="auto"/>
              <w:right w:val="single" w:sz="8" w:space="0" w:color="auto"/>
            </w:tcBorders>
            <w:shd w:val="clear" w:color="000000" w:fill="F4B084"/>
            <w:noWrap/>
            <w:vAlign w:val="center"/>
            <w:hideMark/>
          </w:tcPr>
          <w:p w14:paraId="3FA04D56" w14:textId="77777777" w:rsidR="002B705C" w:rsidRPr="003206B8" w:rsidRDefault="002B705C" w:rsidP="002670CE">
            <w:pPr>
              <w:spacing w:after="0" w:line="240" w:lineRule="auto"/>
              <w:jc w:val="right"/>
              <w:rPr>
                <w:rFonts w:ascii="Calibri" w:eastAsia="Times New Roman" w:hAnsi="Calibri" w:cs="Calibri"/>
                <w:b/>
                <w:bCs/>
                <w:sz w:val="20"/>
                <w:szCs w:val="20"/>
                <w:lang w:eastAsia="sk-SK"/>
              </w:rPr>
            </w:pPr>
            <w:r w:rsidRPr="003206B8">
              <w:rPr>
                <w:rFonts w:ascii="Calibri" w:eastAsia="Times New Roman" w:hAnsi="Calibri" w:cs="Calibri"/>
                <w:b/>
                <w:bCs/>
                <w:sz w:val="20"/>
                <w:szCs w:val="20"/>
                <w:lang w:eastAsia="sk-SK"/>
              </w:rPr>
              <w:t>1</w:t>
            </w:r>
          </w:p>
        </w:tc>
        <w:tc>
          <w:tcPr>
            <w:tcW w:w="993" w:type="dxa"/>
            <w:tcBorders>
              <w:top w:val="nil"/>
              <w:left w:val="nil"/>
              <w:bottom w:val="single" w:sz="4" w:space="0" w:color="auto"/>
              <w:right w:val="single" w:sz="4" w:space="0" w:color="auto"/>
            </w:tcBorders>
            <w:shd w:val="clear" w:color="auto" w:fill="auto"/>
            <w:noWrap/>
            <w:vAlign w:val="center"/>
            <w:hideMark/>
          </w:tcPr>
          <w:p w14:paraId="03C3B5A3" w14:textId="77777777" w:rsidR="002B705C" w:rsidRPr="003206B8" w:rsidRDefault="002B705C" w:rsidP="002670CE">
            <w:pPr>
              <w:spacing w:after="0" w:line="240" w:lineRule="auto"/>
              <w:jc w:val="right"/>
              <w:rPr>
                <w:rFonts w:ascii="Calibri" w:eastAsia="Times New Roman" w:hAnsi="Calibri" w:cs="Calibri"/>
                <w:b/>
                <w:bCs/>
                <w:sz w:val="20"/>
                <w:szCs w:val="20"/>
                <w:lang w:eastAsia="sk-SK"/>
              </w:rPr>
            </w:pPr>
            <w:r w:rsidRPr="003206B8">
              <w:rPr>
                <w:rFonts w:ascii="Calibri" w:eastAsia="Times New Roman" w:hAnsi="Calibri" w:cs="Calibri"/>
                <w:b/>
                <w:bCs/>
                <w:sz w:val="20"/>
                <w:szCs w:val="20"/>
                <w:lang w:eastAsia="sk-SK"/>
              </w:rPr>
              <w:t>1</w:t>
            </w:r>
          </w:p>
        </w:tc>
        <w:tc>
          <w:tcPr>
            <w:tcW w:w="1275" w:type="dxa"/>
            <w:tcBorders>
              <w:top w:val="nil"/>
              <w:left w:val="nil"/>
              <w:bottom w:val="single" w:sz="4" w:space="0" w:color="auto"/>
              <w:right w:val="single" w:sz="4" w:space="0" w:color="auto"/>
            </w:tcBorders>
            <w:shd w:val="clear" w:color="auto" w:fill="auto"/>
            <w:noWrap/>
            <w:vAlign w:val="center"/>
            <w:hideMark/>
          </w:tcPr>
          <w:p w14:paraId="061BD615" w14:textId="77777777" w:rsidR="002B705C" w:rsidRPr="003206B8" w:rsidRDefault="002B705C" w:rsidP="002670CE">
            <w:pPr>
              <w:spacing w:after="0" w:line="240" w:lineRule="auto"/>
              <w:jc w:val="right"/>
              <w:rPr>
                <w:rFonts w:ascii="Calibri" w:eastAsia="Times New Roman" w:hAnsi="Calibri" w:cs="Calibri"/>
                <w:color w:val="000000"/>
                <w:sz w:val="20"/>
                <w:szCs w:val="20"/>
                <w:lang w:eastAsia="sk-SK"/>
              </w:rPr>
            </w:pPr>
            <w:r w:rsidRPr="003206B8">
              <w:rPr>
                <w:rFonts w:ascii="Calibri" w:eastAsia="Times New Roman" w:hAnsi="Calibri" w:cs="Calibri"/>
                <w:color w:val="000000"/>
                <w:sz w:val="20"/>
                <w:szCs w:val="20"/>
                <w:lang w:eastAsia="sk-SK"/>
              </w:rPr>
              <w:t>3</w:t>
            </w:r>
          </w:p>
        </w:tc>
        <w:tc>
          <w:tcPr>
            <w:tcW w:w="1276" w:type="dxa"/>
            <w:tcBorders>
              <w:top w:val="nil"/>
              <w:left w:val="nil"/>
              <w:bottom w:val="single" w:sz="4" w:space="0" w:color="auto"/>
              <w:right w:val="single" w:sz="4" w:space="0" w:color="auto"/>
            </w:tcBorders>
            <w:shd w:val="clear" w:color="000000" w:fill="9BC2E6"/>
            <w:noWrap/>
            <w:vAlign w:val="center"/>
            <w:hideMark/>
          </w:tcPr>
          <w:p w14:paraId="74F08904" w14:textId="77777777" w:rsidR="002B705C" w:rsidRPr="003206B8" w:rsidRDefault="002B705C" w:rsidP="002670CE">
            <w:pPr>
              <w:spacing w:after="0" w:line="240" w:lineRule="auto"/>
              <w:jc w:val="right"/>
              <w:rPr>
                <w:rFonts w:ascii="Calibri" w:eastAsia="Times New Roman" w:hAnsi="Calibri" w:cs="Calibri"/>
                <w:b/>
                <w:bCs/>
                <w:color w:val="000000"/>
                <w:sz w:val="20"/>
                <w:szCs w:val="20"/>
                <w:lang w:eastAsia="sk-SK"/>
              </w:rPr>
            </w:pPr>
            <w:r w:rsidRPr="003206B8">
              <w:rPr>
                <w:rFonts w:ascii="Calibri" w:eastAsia="Times New Roman" w:hAnsi="Calibri" w:cs="Calibri"/>
                <w:b/>
                <w:bCs/>
                <w:color w:val="000000"/>
                <w:sz w:val="20"/>
                <w:szCs w:val="20"/>
                <w:lang w:eastAsia="sk-SK"/>
              </w:rPr>
              <w:t>2,0</w:t>
            </w:r>
          </w:p>
        </w:tc>
      </w:tr>
      <w:tr w:rsidR="002B705C" w:rsidRPr="003206B8" w14:paraId="673856FF" w14:textId="77777777" w:rsidTr="002670CE">
        <w:trPr>
          <w:trHeight w:val="34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EB95CC8" w14:textId="77777777" w:rsidR="002B705C" w:rsidRPr="003206B8" w:rsidRDefault="002B705C" w:rsidP="002670CE">
            <w:pPr>
              <w:spacing w:after="0" w:line="240" w:lineRule="auto"/>
              <w:rPr>
                <w:rFonts w:ascii="Calibri" w:eastAsia="Times New Roman" w:hAnsi="Calibri" w:cs="Calibri"/>
                <w:b/>
                <w:bCs/>
                <w:color w:val="000000"/>
                <w:sz w:val="20"/>
                <w:szCs w:val="20"/>
                <w:lang w:eastAsia="sk-SK"/>
              </w:rPr>
            </w:pPr>
            <w:r w:rsidRPr="003206B8">
              <w:rPr>
                <w:rFonts w:ascii="Calibri" w:eastAsia="Times New Roman" w:hAnsi="Calibri" w:cs="Calibri"/>
                <w:b/>
                <w:bCs/>
                <w:color w:val="000000"/>
                <w:sz w:val="20"/>
                <w:szCs w:val="20"/>
                <w:lang w:eastAsia="sk-SK"/>
              </w:rPr>
              <w:lastRenderedPageBreak/>
              <w:t>5. Skalolezenie</w:t>
            </w:r>
          </w:p>
        </w:tc>
        <w:tc>
          <w:tcPr>
            <w:tcW w:w="622" w:type="dxa"/>
            <w:tcBorders>
              <w:top w:val="nil"/>
              <w:left w:val="nil"/>
              <w:bottom w:val="single" w:sz="4" w:space="0" w:color="auto"/>
              <w:right w:val="single" w:sz="4" w:space="0" w:color="auto"/>
            </w:tcBorders>
            <w:shd w:val="clear" w:color="auto" w:fill="auto"/>
            <w:noWrap/>
            <w:vAlign w:val="center"/>
            <w:hideMark/>
          </w:tcPr>
          <w:p w14:paraId="782920BF" w14:textId="77777777" w:rsidR="002B705C" w:rsidRPr="003206B8" w:rsidRDefault="002B705C" w:rsidP="002670CE">
            <w:pPr>
              <w:spacing w:after="0" w:line="240" w:lineRule="auto"/>
              <w:rPr>
                <w:rFonts w:ascii="Calibri" w:eastAsia="Times New Roman" w:hAnsi="Calibri" w:cs="Calibri"/>
                <w:color w:val="000000"/>
                <w:sz w:val="20"/>
                <w:szCs w:val="20"/>
                <w:lang w:eastAsia="sk-SK"/>
              </w:rPr>
            </w:pPr>
            <w:r w:rsidRPr="003206B8">
              <w:rPr>
                <w:rFonts w:ascii="Calibri" w:eastAsia="Times New Roman" w:hAnsi="Calibri" w:cs="Calibri"/>
                <w:color w:val="000000"/>
                <w:sz w:val="20"/>
                <w:szCs w:val="20"/>
                <w:lang w:eastAsia="sk-SK"/>
              </w:rPr>
              <w:t> </w:t>
            </w:r>
          </w:p>
        </w:tc>
        <w:tc>
          <w:tcPr>
            <w:tcW w:w="1788" w:type="dxa"/>
            <w:tcBorders>
              <w:top w:val="nil"/>
              <w:left w:val="nil"/>
              <w:bottom w:val="single" w:sz="4" w:space="0" w:color="auto"/>
              <w:right w:val="nil"/>
            </w:tcBorders>
            <w:shd w:val="clear" w:color="auto" w:fill="auto"/>
            <w:noWrap/>
            <w:vAlign w:val="center"/>
            <w:hideMark/>
          </w:tcPr>
          <w:p w14:paraId="5CDA3326" w14:textId="77777777" w:rsidR="002B705C" w:rsidRPr="003206B8" w:rsidRDefault="002B705C" w:rsidP="002670CE">
            <w:pPr>
              <w:spacing w:after="0" w:line="240" w:lineRule="auto"/>
              <w:rPr>
                <w:rFonts w:ascii="Calibri" w:eastAsia="Times New Roman" w:hAnsi="Calibri" w:cs="Calibri"/>
                <w:color w:val="000000"/>
                <w:sz w:val="20"/>
                <w:szCs w:val="20"/>
                <w:lang w:eastAsia="sk-SK"/>
              </w:rPr>
            </w:pPr>
            <w:r w:rsidRPr="003206B8">
              <w:rPr>
                <w:rFonts w:ascii="Calibri" w:eastAsia="Times New Roman" w:hAnsi="Calibri" w:cs="Calibri"/>
                <w:color w:val="000000"/>
                <w:sz w:val="20"/>
                <w:szCs w:val="20"/>
                <w:lang w:eastAsia="sk-SK"/>
              </w:rPr>
              <w:t> </w:t>
            </w:r>
          </w:p>
        </w:tc>
        <w:tc>
          <w:tcPr>
            <w:tcW w:w="1842" w:type="dxa"/>
            <w:tcBorders>
              <w:top w:val="nil"/>
              <w:left w:val="single" w:sz="8" w:space="0" w:color="auto"/>
              <w:bottom w:val="single" w:sz="4" w:space="0" w:color="auto"/>
              <w:right w:val="single" w:sz="4" w:space="0" w:color="auto"/>
            </w:tcBorders>
            <w:shd w:val="clear" w:color="auto" w:fill="auto"/>
            <w:noWrap/>
            <w:vAlign w:val="center"/>
            <w:hideMark/>
          </w:tcPr>
          <w:p w14:paraId="39E92B12" w14:textId="77777777" w:rsidR="002B705C" w:rsidRPr="003206B8" w:rsidRDefault="002B705C" w:rsidP="002670CE">
            <w:pPr>
              <w:spacing w:after="0" w:line="240" w:lineRule="auto"/>
              <w:rPr>
                <w:rFonts w:ascii="Calibri" w:eastAsia="Times New Roman" w:hAnsi="Calibri" w:cs="Calibri"/>
                <w:b/>
                <w:bCs/>
                <w:color w:val="000000"/>
                <w:sz w:val="20"/>
                <w:szCs w:val="20"/>
                <w:lang w:eastAsia="sk-SK"/>
              </w:rPr>
            </w:pPr>
            <w:r w:rsidRPr="003206B8">
              <w:rPr>
                <w:rFonts w:ascii="Calibri" w:eastAsia="Times New Roman" w:hAnsi="Calibri" w:cs="Calibri"/>
                <w:b/>
                <w:bCs/>
                <w:color w:val="F4B084"/>
                <w:sz w:val="20"/>
                <w:szCs w:val="20"/>
                <w:lang w:eastAsia="sk-SK"/>
              </w:rPr>
              <w:t>D,</w:t>
            </w:r>
            <w:r w:rsidRPr="003206B8">
              <w:rPr>
                <w:rFonts w:ascii="Calibri" w:eastAsia="Times New Roman" w:hAnsi="Calibri" w:cs="Calibri"/>
                <w:b/>
                <w:bCs/>
                <w:color w:val="FF0000"/>
                <w:sz w:val="20"/>
                <w:szCs w:val="20"/>
                <w:lang w:eastAsia="sk-SK"/>
              </w:rPr>
              <w:t xml:space="preserve"> F,</w:t>
            </w:r>
            <w:r w:rsidRPr="003206B8">
              <w:rPr>
                <w:rFonts w:ascii="Calibri" w:eastAsia="Times New Roman" w:hAnsi="Calibri" w:cs="Calibri"/>
                <w:b/>
                <w:bCs/>
                <w:color w:val="000000"/>
                <w:sz w:val="20"/>
                <w:szCs w:val="20"/>
                <w:lang w:eastAsia="sk-SK"/>
              </w:rPr>
              <w:t xml:space="preserve"> </w:t>
            </w:r>
            <w:r w:rsidRPr="003206B8">
              <w:rPr>
                <w:rFonts w:ascii="Calibri" w:eastAsia="Times New Roman" w:hAnsi="Calibri" w:cs="Calibri"/>
                <w:b/>
                <w:bCs/>
                <w:color w:val="F4B084"/>
                <w:sz w:val="20"/>
                <w:szCs w:val="20"/>
                <w:lang w:eastAsia="sk-SK"/>
              </w:rPr>
              <w:t>G,</w:t>
            </w:r>
            <w:r w:rsidRPr="003206B8">
              <w:rPr>
                <w:rFonts w:ascii="Calibri" w:eastAsia="Times New Roman" w:hAnsi="Calibri" w:cs="Calibri"/>
                <w:b/>
                <w:bCs/>
                <w:color w:val="000000"/>
                <w:sz w:val="20"/>
                <w:szCs w:val="20"/>
                <w:lang w:eastAsia="sk-SK"/>
              </w:rPr>
              <w:t xml:space="preserve"> </w:t>
            </w:r>
            <w:r w:rsidRPr="003206B8">
              <w:rPr>
                <w:rFonts w:ascii="Calibri" w:eastAsia="Times New Roman" w:hAnsi="Calibri" w:cs="Calibri"/>
                <w:b/>
                <w:bCs/>
                <w:color w:val="548235"/>
                <w:sz w:val="20"/>
                <w:szCs w:val="20"/>
                <w:lang w:eastAsia="sk-SK"/>
              </w:rPr>
              <w:t>J</w:t>
            </w:r>
          </w:p>
        </w:tc>
        <w:tc>
          <w:tcPr>
            <w:tcW w:w="426" w:type="dxa"/>
            <w:tcBorders>
              <w:top w:val="nil"/>
              <w:left w:val="nil"/>
              <w:bottom w:val="single" w:sz="4" w:space="0" w:color="auto"/>
              <w:right w:val="single" w:sz="8" w:space="0" w:color="auto"/>
            </w:tcBorders>
            <w:shd w:val="clear" w:color="000000" w:fill="FFF2CC"/>
            <w:noWrap/>
            <w:vAlign w:val="center"/>
            <w:hideMark/>
          </w:tcPr>
          <w:p w14:paraId="41262B74" w14:textId="77777777" w:rsidR="002B705C" w:rsidRPr="003206B8" w:rsidRDefault="002B705C" w:rsidP="002670CE">
            <w:pPr>
              <w:spacing w:after="0" w:line="240" w:lineRule="auto"/>
              <w:jc w:val="right"/>
              <w:rPr>
                <w:rFonts w:ascii="Calibri" w:eastAsia="Times New Roman" w:hAnsi="Calibri" w:cs="Calibri"/>
                <w:b/>
                <w:bCs/>
                <w:sz w:val="20"/>
                <w:szCs w:val="20"/>
                <w:lang w:eastAsia="sk-SK"/>
              </w:rPr>
            </w:pPr>
            <w:r w:rsidRPr="003206B8">
              <w:rPr>
                <w:rFonts w:ascii="Calibri" w:eastAsia="Times New Roman" w:hAnsi="Calibri" w:cs="Calibri"/>
                <w:b/>
                <w:bCs/>
                <w:sz w:val="20"/>
                <w:szCs w:val="20"/>
                <w:lang w:eastAsia="sk-SK"/>
              </w:rPr>
              <w:t>0</w:t>
            </w:r>
          </w:p>
        </w:tc>
        <w:tc>
          <w:tcPr>
            <w:tcW w:w="993" w:type="dxa"/>
            <w:tcBorders>
              <w:top w:val="nil"/>
              <w:left w:val="nil"/>
              <w:bottom w:val="single" w:sz="4" w:space="0" w:color="auto"/>
              <w:right w:val="single" w:sz="4" w:space="0" w:color="auto"/>
            </w:tcBorders>
            <w:shd w:val="clear" w:color="auto" w:fill="auto"/>
            <w:noWrap/>
            <w:vAlign w:val="center"/>
            <w:hideMark/>
          </w:tcPr>
          <w:p w14:paraId="705DD9C7" w14:textId="77777777" w:rsidR="002B705C" w:rsidRPr="003206B8" w:rsidRDefault="002B705C" w:rsidP="002670CE">
            <w:pPr>
              <w:spacing w:after="0" w:line="240" w:lineRule="auto"/>
              <w:jc w:val="right"/>
              <w:rPr>
                <w:rFonts w:ascii="Calibri" w:eastAsia="Times New Roman" w:hAnsi="Calibri" w:cs="Calibri"/>
                <w:b/>
                <w:bCs/>
                <w:sz w:val="20"/>
                <w:szCs w:val="20"/>
                <w:lang w:eastAsia="sk-SK"/>
              </w:rPr>
            </w:pPr>
            <w:r w:rsidRPr="003206B8">
              <w:rPr>
                <w:rFonts w:ascii="Calibri" w:eastAsia="Times New Roman" w:hAnsi="Calibri" w:cs="Calibri"/>
                <w:b/>
                <w:bCs/>
                <w:sz w:val="20"/>
                <w:szCs w:val="20"/>
                <w:lang w:eastAsia="sk-SK"/>
              </w:rPr>
              <w:t>1</w:t>
            </w:r>
          </w:p>
        </w:tc>
        <w:tc>
          <w:tcPr>
            <w:tcW w:w="1275" w:type="dxa"/>
            <w:tcBorders>
              <w:top w:val="nil"/>
              <w:left w:val="nil"/>
              <w:bottom w:val="single" w:sz="4" w:space="0" w:color="auto"/>
              <w:right w:val="single" w:sz="4" w:space="0" w:color="auto"/>
            </w:tcBorders>
            <w:shd w:val="clear" w:color="auto" w:fill="auto"/>
            <w:noWrap/>
            <w:vAlign w:val="center"/>
            <w:hideMark/>
          </w:tcPr>
          <w:p w14:paraId="5B78A2EC" w14:textId="77777777" w:rsidR="002B705C" w:rsidRPr="003206B8" w:rsidRDefault="002B705C" w:rsidP="002670CE">
            <w:pPr>
              <w:spacing w:after="0" w:line="240" w:lineRule="auto"/>
              <w:jc w:val="right"/>
              <w:rPr>
                <w:rFonts w:ascii="Calibri" w:eastAsia="Times New Roman" w:hAnsi="Calibri" w:cs="Calibri"/>
                <w:color w:val="000000"/>
                <w:sz w:val="20"/>
                <w:szCs w:val="20"/>
                <w:lang w:eastAsia="sk-SK"/>
              </w:rPr>
            </w:pPr>
            <w:r w:rsidRPr="003206B8">
              <w:rPr>
                <w:rFonts w:ascii="Calibri" w:eastAsia="Times New Roman" w:hAnsi="Calibri" w:cs="Calibri"/>
                <w:color w:val="000000"/>
                <w:sz w:val="20"/>
                <w:szCs w:val="20"/>
                <w:lang w:eastAsia="sk-SK"/>
              </w:rPr>
              <w:t>1</w:t>
            </w:r>
          </w:p>
        </w:tc>
        <w:tc>
          <w:tcPr>
            <w:tcW w:w="1276" w:type="dxa"/>
            <w:tcBorders>
              <w:top w:val="nil"/>
              <w:left w:val="nil"/>
              <w:bottom w:val="single" w:sz="4" w:space="0" w:color="auto"/>
              <w:right w:val="single" w:sz="4" w:space="0" w:color="auto"/>
            </w:tcBorders>
            <w:shd w:val="clear" w:color="000000" w:fill="DDEBF7"/>
            <w:noWrap/>
            <w:vAlign w:val="center"/>
            <w:hideMark/>
          </w:tcPr>
          <w:p w14:paraId="3E0F2CD9" w14:textId="77777777" w:rsidR="002B705C" w:rsidRPr="003206B8" w:rsidRDefault="002B705C" w:rsidP="002670CE">
            <w:pPr>
              <w:spacing w:after="0" w:line="240" w:lineRule="auto"/>
              <w:jc w:val="right"/>
              <w:rPr>
                <w:rFonts w:ascii="Calibri" w:eastAsia="Times New Roman" w:hAnsi="Calibri" w:cs="Calibri"/>
                <w:b/>
                <w:bCs/>
                <w:color w:val="000000"/>
                <w:sz w:val="20"/>
                <w:szCs w:val="20"/>
                <w:lang w:eastAsia="sk-SK"/>
              </w:rPr>
            </w:pPr>
            <w:r w:rsidRPr="003206B8">
              <w:rPr>
                <w:rFonts w:ascii="Calibri" w:eastAsia="Times New Roman" w:hAnsi="Calibri" w:cs="Calibri"/>
                <w:b/>
                <w:bCs/>
                <w:color w:val="000000"/>
                <w:sz w:val="20"/>
                <w:szCs w:val="20"/>
                <w:lang w:eastAsia="sk-SK"/>
              </w:rPr>
              <w:t>1,0</w:t>
            </w:r>
          </w:p>
        </w:tc>
      </w:tr>
      <w:tr w:rsidR="002B705C" w:rsidRPr="003206B8" w14:paraId="5FCA975D" w14:textId="77777777" w:rsidTr="002670CE">
        <w:trPr>
          <w:trHeight w:val="34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76E707D" w14:textId="77777777" w:rsidR="002B705C" w:rsidRPr="003206B8" w:rsidRDefault="002B705C" w:rsidP="002670CE">
            <w:pPr>
              <w:spacing w:after="0" w:line="240" w:lineRule="auto"/>
              <w:rPr>
                <w:rFonts w:ascii="Calibri" w:eastAsia="Times New Roman" w:hAnsi="Calibri" w:cs="Calibri"/>
                <w:b/>
                <w:bCs/>
                <w:color w:val="000000"/>
                <w:sz w:val="20"/>
                <w:szCs w:val="20"/>
                <w:lang w:eastAsia="sk-SK"/>
              </w:rPr>
            </w:pPr>
            <w:r w:rsidRPr="003206B8">
              <w:rPr>
                <w:rFonts w:ascii="Calibri" w:eastAsia="Times New Roman" w:hAnsi="Calibri" w:cs="Calibri"/>
                <w:b/>
                <w:bCs/>
                <w:color w:val="000000"/>
                <w:sz w:val="20"/>
                <w:szCs w:val="20"/>
                <w:lang w:eastAsia="sk-SK"/>
              </w:rPr>
              <w:t>6. Vodný turizmus</w:t>
            </w:r>
          </w:p>
        </w:tc>
        <w:tc>
          <w:tcPr>
            <w:tcW w:w="622" w:type="dxa"/>
            <w:tcBorders>
              <w:top w:val="nil"/>
              <w:left w:val="nil"/>
              <w:bottom w:val="single" w:sz="4" w:space="0" w:color="auto"/>
              <w:right w:val="single" w:sz="4" w:space="0" w:color="auto"/>
            </w:tcBorders>
            <w:shd w:val="clear" w:color="auto" w:fill="auto"/>
            <w:noWrap/>
            <w:vAlign w:val="center"/>
            <w:hideMark/>
          </w:tcPr>
          <w:p w14:paraId="62DE7547" w14:textId="77777777" w:rsidR="002B705C" w:rsidRPr="003206B8" w:rsidRDefault="002B705C" w:rsidP="002670CE">
            <w:pPr>
              <w:spacing w:after="0" w:line="240" w:lineRule="auto"/>
              <w:jc w:val="right"/>
              <w:rPr>
                <w:rFonts w:ascii="Calibri" w:eastAsia="Times New Roman" w:hAnsi="Calibri" w:cs="Calibri"/>
                <w:color w:val="000000"/>
                <w:sz w:val="20"/>
                <w:szCs w:val="20"/>
                <w:lang w:eastAsia="sk-SK"/>
              </w:rPr>
            </w:pPr>
            <w:r w:rsidRPr="003206B8">
              <w:rPr>
                <w:rFonts w:ascii="Calibri" w:eastAsia="Times New Roman" w:hAnsi="Calibri" w:cs="Calibri"/>
                <w:color w:val="000000"/>
                <w:sz w:val="20"/>
                <w:szCs w:val="20"/>
                <w:lang w:eastAsia="sk-SK"/>
              </w:rPr>
              <w:t>6.1</w:t>
            </w:r>
          </w:p>
        </w:tc>
        <w:tc>
          <w:tcPr>
            <w:tcW w:w="1788" w:type="dxa"/>
            <w:tcBorders>
              <w:top w:val="nil"/>
              <w:left w:val="nil"/>
              <w:bottom w:val="single" w:sz="4" w:space="0" w:color="auto"/>
              <w:right w:val="nil"/>
            </w:tcBorders>
            <w:shd w:val="clear" w:color="auto" w:fill="auto"/>
            <w:noWrap/>
            <w:vAlign w:val="center"/>
            <w:hideMark/>
          </w:tcPr>
          <w:p w14:paraId="0B460707" w14:textId="77777777" w:rsidR="002B705C" w:rsidRPr="003206B8" w:rsidRDefault="002B705C" w:rsidP="002670CE">
            <w:pPr>
              <w:spacing w:after="0" w:line="240" w:lineRule="auto"/>
              <w:rPr>
                <w:rFonts w:ascii="Calibri" w:eastAsia="Times New Roman" w:hAnsi="Calibri" w:cs="Calibri"/>
                <w:color w:val="000000"/>
                <w:sz w:val="20"/>
                <w:szCs w:val="20"/>
                <w:lang w:eastAsia="sk-SK"/>
              </w:rPr>
            </w:pPr>
            <w:r w:rsidRPr="003206B8">
              <w:rPr>
                <w:rFonts w:ascii="Calibri" w:eastAsia="Times New Roman" w:hAnsi="Calibri" w:cs="Calibri"/>
                <w:color w:val="000000"/>
                <w:sz w:val="20"/>
                <w:szCs w:val="20"/>
                <w:lang w:eastAsia="sk-SK"/>
              </w:rPr>
              <w:t>Splavovanie riek</w:t>
            </w:r>
          </w:p>
        </w:tc>
        <w:tc>
          <w:tcPr>
            <w:tcW w:w="1842" w:type="dxa"/>
            <w:tcBorders>
              <w:top w:val="nil"/>
              <w:left w:val="single" w:sz="8" w:space="0" w:color="auto"/>
              <w:bottom w:val="single" w:sz="4" w:space="0" w:color="auto"/>
              <w:right w:val="single" w:sz="4" w:space="0" w:color="auto"/>
            </w:tcBorders>
            <w:shd w:val="clear" w:color="auto" w:fill="auto"/>
            <w:noWrap/>
            <w:vAlign w:val="center"/>
            <w:hideMark/>
          </w:tcPr>
          <w:p w14:paraId="1888500B" w14:textId="77777777" w:rsidR="002B705C" w:rsidRPr="003206B8" w:rsidRDefault="002B705C" w:rsidP="002670CE">
            <w:pPr>
              <w:spacing w:after="0" w:line="240" w:lineRule="auto"/>
              <w:rPr>
                <w:rFonts w:ascii="Calibri" w:eastAsia="Times New Roman" w:hAnsi="Calibri" w:cs="Calibri"/>
                <w:b/>
                <w:bCs/>
                <w:color w:val="000000"/>
                <w:sz w:val="20"/>
                <w:szCs w:val="20"/>
                <w:lang w:eastAsia="sk-SK"/>
              </w:rPr>
            </w:pPr>
            <w:r w:rsidRPr="003206B8">
              <w:rPr>
                <w:rFonts w:ascii="Calibri" w:eastAsia="Times New Roman" w:hAnsi="Calibri" w:cs="Calibri"/>
                <w:b/>
                <w:bCs/>
                <w:color w:val="FF0000"/>
                <w:sz w:val="20"/>
                <w:szCs w:val="20"/>
                <w:lang w:eastAsia="sk-SK"/>
              </w:rPr>
              <w:t>A, D, E,</w:t>
            </w:r>
            <w:r w:rsidRPr="003206B8">
              <w:rPr>
                <w:rFonts w:ascii="Calibri" w:eastAsia="Times New Roman" w:hAnsi="Calibri" w:cs="Calibri"/>
                <w:b/>
                <w:bCs/>
                <w:color w:val="F4B084"/>
                <w:sz w:val="20"/>
                <w:szCs w:val="20"/>
                <w:lang w:eastAsia="sk-SK"/>
              </w:rPr>
              <w:t xml:space="preserve"> F, G,</w:t>
            </w:r>
            <w:r w:rsidRPr="003206B8">
              <w:rPr>
                <w:rFonts w:ascii="Calibri" w:eastAsia="Times New Roman" w:hAnsi="Calibri" w:cs="Calibri"/>
                <w:b/>
                <w:bCs/>
                <w:color w:val="A9D08E"/>
                <w:sz w:val="20"/>
                <w:szCs w:val="20"/>
                <w:lang w:eastAsia="sk-SK"/>
              </w:rPr>
              <w:t xml:space="preserve"> </w:t>
            </w:r>
            <w:r w:rsidRPr="003206B8">
              <w:rPr>
                <w:rFonts w:ascii="Calibri" w:eastAsia="Times New Roman" w:hAnsi="Calibri" w:cs="Calibri"/>
                <w:b/>
                <w:bCs/>
                <w:color w:val="548235"/>
                <w:sz w:val="20"/>
                <w:szCs w:val="20"/>
                <w:lang w:eastAsia="sk-SK"/>
              </w:rPr>
              <w:t>J,</w:t>
            </w:r>
            <w:r w:rsidRPr="003206B8">
              <w:rPr>
                <w:rFonts w:ascii="Calibri" w:eastAsia="Times New Roman" w:hAnsi="Calibri" w:cs="Calibri"/>
                <w:b/>
                <w:bCs/>
                <w:color w:val="A9D08E"/>
                <w:sz w:val="20"/>
                <w:szCs w:val="20"/>
                <w:lang w:eastAsia="sk-SK"/>
              </w:rPr>
              <w:t xml:space="preserve"> L</w:t>
            </w:r>
          </w:p>
        </w:tc>
        <w:tc>
          <w:tcPr>
            <w:tcW w:w="426" w:type="dxa"/>
            <w:tcBorders>
              <w:top w:val="nil"/>
              <w:left w:val="nil"/>
              <w:bottom w:val="single" w:sz="4" w:space="0" w:color="auto"/>
              <w:right w:val="single" w:sz="8" w:space="0" w:color="auto"/>
            </w:tcBorders>
            <w:shd w:val="clear" w:color="000000" w:fill="FF0000"/>
            <w:noWrap/>
            <w:vAlign w:val="center"/>
            <w:hideMark/>
          </w:tcPr>
          <w:p w14:paraId="407367D3" w14:textId="77777777" w:rsidR="002B705C" w:rsidRPr="003206B8" w:rsidRDefault="002B705C" w:rsidP="002670CE">
            <w:pPr>
              <w:spacing w:after="0" w:line="240" w:lineRule="auto"/>
              <w:jc w:val="right"/>
              <w:rPr>
                <w:rFonts w:ascii="Calibri" w:eastAsia="Times New Roman" w:hAnsi="Calibri" w:cs="Calibri"/>
                <w:b/>
                <w:bCs/>
                <w:sz w:val="20"/>
                <w:szCs w:val="20"/>
                <w:lang w:eastAsia="sk-SK"/>
              </w:rPr>
            </w:pPr>
            <w:r w:rsidRPr="003206B8">
              <w:rPr>
                <w:rFonts w:ascii="Calibri" w:eastAsia="Times New Roman" w:hAnsi="Calibri" w:cs="Calibri"/>
                <w:b/>
                <w:bCs/>
                <w:sz w:val="20"/>
                <w:szCs w:val="20"/>
                <w:lang w:eastAsia="sk-SK"/>
              </w:rPr>
              <w:t>2</w:t>
            </w:r>
          </w:p>
        </w:tc>
        <w:tc>
          <w:tcPr>
            <w:tcW w:w="993" w:type="dxa"/>
            <w:tcBorders>
              <w:top w:val="nil"/>
              <w:left w:val="nil"/>
              <w:bottom w:val="single" w:sz="4" w:space="0" w:color="auto"/>
              <w:right w:val="single" w:sz="4" w:space="0" w:color="auto"/>
            </w:tcBorders>
            <w:shd w:val="clear" w:color="auto" w:fill="auto"/>
            <w:noWrap/>
            <w:vAlign w:val="center"/>
            <w:hideMark/>
          </w:tcPr>
          <w:p w14:paraId="2662DB7A" w14:textId="77777777" w:rsidR="002B705C" w:rsidRPr="003206B8" w:rsidRDefault="002B705C" w:rsidP="002670CE">
            <w:pPr>
              <w:spacing w:after="0" w:line="240" w:lineRule="auto"/>
              <w:jc w:val="right"/>
              <w:rPr>
                <w:rFonts w:ascii="Calibri" w:eastAsia="Times New Roman" w:hAnsi="Calibri" w:cs="Calibri"/>
                <w:b/>
                <w:bCs/>
                <w:sz w:val="20"/>
                <w:szCs w:val="20"/>
                <w:lang w:eastAsia="sk-SK"/>
              </w:rPr>
            </w:pPr>
            <w:r w:rsidRPr="003206B8">
              <w:rPr>
                <w:rFonts w:ascii="Calibri" w:eastAsia="Times New Roman" w:hAnsi="Calibri" w:cs="Calibri"/>
                <w:b/>
                <w:bCs/>
                <w:sz w:val="20"/>
                <w:szCs w:val="20"/>
                <w:lang w:eastAsia="sk-SK"/>
              </w:rPr>
              <w:t>3</w:t>
            </w:r>
          </w:p>
        </w:tc>
        <w:tc>
          <w:tcPr>
            <w:tcW w:w="1275" w:type="dxa"/>
            <w:tcBorders>
              <w:top w:val="nil"/>
              <w:left w:val="nil"/>
              <w:bottom w:val="single" w:sz="4" w:space="0" w:color="auto"/>
              <w:right w:val="single" w:sz="4" w:space="0" w:color="auto"/>
            </w:tcBorders>
            <w:shd w:val="clear" w:color="auto" w:fill="auto"/>
            <w:noWrap/>
            <w:vAlign w:val="center"/>
            <w:hideMark/>
          </w:tcPr>
          <w:p w14:paraId="398A9849" w14:textId="77777777" w:rsidR="002B705C" w:rsidRPr="003206B8" w:rsidRDefault="002B705C" w:rsidP="002670CE">
            <w:pPr>
              <w:spacing w:after="0" w:line="240" w:lineRule="auto"/>
              <w:jc w:val="right"/>
              <w:rPr>
                <w:rFonts w:ascii="Calibri" w:eastAsia="Times New Roman" w:hAnsi="Calibri" w:cs="Calibri"/>
                <w:color w:val="000000"/>
                <w:sz w:val="20"/>
                <w:szCs w:val="20"/>
                <w:lang w:eastAsia="sk-SK"/>
              </w:rPr>
            </w:pPr>
            <w:r w:rsidRPr="003206B8">
              <w:rPr>
                <w:rFonts w:ascii="Calibri" w:eastAsia="Times New Roman" w:hAnsi="Calibri" w:cs="Calibri"/>
                <w:color w:val="000000"/>
                <w:sz w:val="20"/>
                <w:szCs w:val="20"/>
                <w:lang w:eastAsia="sk-SK"/>
              </w:rPr>
              <w:t>2</w:t>
            </w:r>
          </w:p>
        </w:tc>
        <w:tc>
          <w:tcPr>
            <w:tcW w:w="1276" w:type="dxa"/>
            <w:tcBorders>
              <w:top w:val="nil"/>
              <w:left w:val="nil"/>
              <w:bottom w:val="single" w:sz="4" w:space="0" w:color="auto"/>
              <w:right w:val="single" w:sz="4" w:space="0" w:color="auto"/>
            </w:tcBorders>
            <w:shd w:val="clear" w:color="000000" w:fill="2F75B5"/>
            <w:noWrap/>
            <w:vAlign w:val="center"/>
            <w:hideMark/>
          </w:tcPr>
          <w:p w14:paraId="1500EE81" w14:textId="77777777" w:rsidR="002B705C" w:rsidRPr="003206B8" w:rsidRDefault="002B705C" w:rsidP="002670CE">
            <w:pPr>
              <w:spacing w:after="0" w:line="240" w:lineRule="auto"/>
              <w:jc w:val="right"/>
              <w:rPr>
                <w:rFonts w:ascii="Calibri" w:eastAsia="Times New Roman" w:hAnsi="Calibri" w:cs="Calibri"/>
                <w:b/>
                <w:bCs/>
                <w:color w:val="000000"/>
                <w:sz w:val="20"/>
                <w:szCs w:val="20"/>
                <w:lang w:eastAsia="sk-SK"/>
              </w:rPr>
            </w:pPr>
            <w:r w:rsidRPr="003206B8">
              <w:rPr>
                <w:rFonts w:ascii="Calibri" w:eastAsia="Times New Roman" w:hAnsi="Calibri" w:cs="Calibri"/>
                <w:b/>
                <w:bCs/>
                <w:color w:val="000000"/>
                <w:sz w:val="20"/>
                <w:szCs w:val="20"/>
                <w:lang w:eastAsia="sk-SK"/>
              </w:rPr>
              <w:t>2,5</w:t>
            </w:r>
          </w:p>
        </w:tc>
      </w:tr>
      <w:tr w:rsidR="002B705C" w:rsidRPr="003206B8" w14:paraId="0E19E2D7" w14:textId="77777777" w:rsidTr="002670CE">
        <w:trPr>
          <w:trHeight w:val="345"/>
        </w:trPr>
        <w:tc>
          <w:tcPr>
            <w:tcW w:w="1418" w:type="dxa"/>
            <w:tcBorders>
              <w:top w:val="nil"/>
              <w:left w:val="single" w:sz="4" w:space="0" w:color="auto"/>
              <w:bottom w:val="nil"/>
              <w:right w:val="single" w:sz="4" w:space="0" w:color="auto"/>
            </w:tcBorders>
            <w:shd w:val="clear" w:color="auto" w:fill="auto"/>
            <w:noWrap/>
            <w:vAlign w:val="bottom"/>
            <w:hideMark/>
          </w:tcPr>
          <w:p w14:paraId="7A1DB614" w14:textId="77777777" w:rsidR="002B705C" w:rsidRPr="003206B8" w:rsidRDefault="002B705C" w:rsidP="002670CE">
            <w:pPr>
              <w:spacing w:after="0" w:line="240" w:lineRule="auto"/>
              <w:rPr>
                <w:rFonts w:ascii="Calibri" w:eastAsia="Times New Roman" w:hAnsi="Calibri" w:cs="Calibri"/>
                <w:color w:val="000000"/>
                <w:sz w:val="20"/>
                <w:szCs w:val="20"/>
                <w:lang w:eastAsia="sk-SK"/>
              </w:rPr>
            </w:pPr>
            <w:r w:rsidRPr="003206B8">
              <w:rPr>
                <w:rFonts w:ascii="Calibri" w:eastAsia="Times New Roman" w:hAnsi="Calibri" w:cs="Calibri"/>
                <w:color w:val="000000"/>
                <w:sz w:val="20"/>
                <w:szCs w:val="20"/>
                <w:lang w:eastAsia="sk-SK"/>
              </w:rPr>
              <w:t> </w:t>
            </w:r>
          </w:p>
        </w:tc>
        <w:tc>
          <w:tcPr>
            <w:tcW w:w="622" w:type="dxa"/>
            <w:tcBorders>
              <w:top w:val="nil"/>
              <w:left w:val="nil"/>
              <w:bottom w:val="nil"/>
              <w:right w:val="single" w:sz="4" w:space="0" w:color="auto"/>
            </w:tcBorders>
            <w:shd w:val="clear" w:color="auto" w:fill="auto"/>
            <w:noWrap/>
            <w:vAlign w:val="bottom"/>
            <w:hideMark/>
          </w:tcPr>
          <w:p w14:paraId="60DF21AA" w14:textId="77777777" w:rsidR="002B705C" w:rsidRPr="003206B8" w:rsidRDefault="002B705C" w:rsidP="002670CE">
            <w:pPr>
              <w:spacing w:after="0" w:line="240" w:lineRule="auto"/>
              <w:jc w:val="right"/>
              <w:rPr>
                <w:rFonts w:ascii="Calibri" w:eastAsia="Times New Roman" w:hAnsi="Calibri" w:cs="Calibri"/>
                <w:color w:val="000000"/>
                <w:sz w:val="20"/>
                <w:szCs w:val="20"/>
                <w:lang w:eastAsia="sk-SK"/>
              </w:rPr>
            </w:pPr>
            <w:r w:rsidRPr="003206B8">
              <w:rPr>
                <w:rFonts w:ascii="Calibri" w:eastAsia="Times New Roman" w:hAnsi="Calibri" w:cs="Calibri"/>
                <w:color w:val="000000"/>
                <w:sz w:val="20"/>
                <w:szCs w:val="20"/>
                <w:lang w:eastAsia="sk-SK"/>
              </w:rPr>
              <w:t>6.2</w:t>
            </w:r>
          </w:p>
        </w:tc>
        <w:tc>
          <w:tcPr>
            <w:tcW w:w="1788" w:type="dxa"/>
            <w:tcBorders>
              <w:top w:val="nil"/>
              <w:left w:val="nil"/>
              <w:bottom w:val="nil"/>
              <w:right w:val="nil"/>
            </w:tcBorders>
            <w:shd w:val="clear" w:color="auto" w:fill="auto"/>
            <w:noWrap/>
            <w:vAlign w:val="bottom"/>
            <w:hideMark/>
          </w:tcPr>
          <w:p w14:paraId="6B1B4F19" w14:textId="77777777" w:rsidR="002B705C" w:rsidRPr="003206B8" w:rsidRDefault="002B705C" w:rsidP="002670CE">
            <w:pPr>
              <w:spacing w:after="0" w:line="240" w:lineRule="auto"/>
              <w:rPr>
                <w:rFonts w:ascii="Calibri" w:eastAsia="Times New Roman" w:hAnsi="Calibri" w:cs="Calibri"/>
                <w:color w:val="000000"/>
                <w:sz w:val="20"/>
                <w:szCs w:val="20"/>
                <w:lang w:eastAsia="sk-SK"/>
              </w:rPr>
            </w:pPr>
            <w:r w:rsidRPr="003206B8">
              <w:rPr>
                <w:rFonts w:ascii="Calibri" w:eastAsia="Times New Roman" w:hAnsi="Calibri" w:cs="Calibri"/>
                <w:color w:val="000000"/>
                <w:sz w:val="20"/>
                <w:szCs w:val="20"/>
                <w:lang w:eastAsia="sk-SK"/>
              </w:rPr>
              <w:t xml:space="preserve">Vodné športy a relax </w:t>
            </w:r>
          </w:p>
        </w:tc>
        <w:tc>
          <w:tcPr>
            <w:tcW w:w="1842" w:type="dxa"/>
            <w:tcBorders>
              <w:top w:val="nil"/>
              <w:left w:val="single" w:sz="8" w:space="0" w:color="auto"/>
              <w:bottom w:val="nil"/>
              <w:right w:val="single" w:sz="4" w:space="0" w:color="auto"/>
            </w:tcBorders>
            <w:shd w:val="clear" w:color="auto" w:fill="auto"/>
            <w:noWrap/>
            <w:vAlign w:val="center"/>
            <w:hideMark/>
          </w:tcPr>
          <w:p w14:paraId="11B651D8" w14:textId="77777777" w:rsidR="002B705C" w:rsidRPr="003206B8" w:rsidRDefault="002B705C" w:rsidP="002670CE">
            <w:pPr>
              <w:spacing w:after="0" w:line="240" w:lineRule="auto"/>
              <w:rPr>
                <w:rFonts w:ascii="Calibri" w:eastAsia="Times New Roman" w:hAnsi="Calibri" w:cs="Calibri"/>
                <w:b/>
                <w:bCs/>
                <w:color w:val="000000"/>
                <w:sz w:val="20"/>
                <w:szCs w:val="20"/>
                <w:lang w:eastAsia="sk-SK"/>
              </w:rPr>
            </w:pPr>
            <w:r w:rsidRPr="003206B8">
              <w:rPr>
                <w:rFonts w:ascii="Calibri" w:eastAsia="Times New Roman" w:hAnsi="Calibri" w:cs="Calibri"/>
                <w:b/>
                <w:bCs/>
                <w:color w:val="FF0000"/>
                <w:sz w:val="20"/>
                <w:szCs w:val="20"/>
                <w:lang w:eastAsia="sk-SK"/>
              </w:rPr>
              <w:t>D, E,</w:t>
            </w:r>
            <w:r w:rsidRPr="003206B8">
              <w:rPr>
                <w:rFonts w:ascii="Calibri" w:eastAsia="Times New Roman" w:hAnsi="Calibri" w:cs="Calibri"/>
                <w:b/>
                <w:bCs/>
                <w:color w:val="000000"/>
                <w:sz w:val="20"/>
                <w:szCs w:val="20"/>
                <w:lang w:eastAsia="sk-SK"/>
              </w:rPr>
              <w:t xml:space="preserve"> </w:t>
            </w:r>
            <w:r w:rsidRPr="003206B8">
              <w:rPr>
                <w:rFonts w:ascii="Calibri" w:eastAsia="Times New Roman" w:hAnsi="Calibri" w:cs="Calibri"/>
                <w:b/>
                <w:bCs/>
                <w:color w:val="F4B084"/>
                <w:sz w:val="20"/>
                <w:szCs w:val="20"/>
                <w:lang w:eastAsia="sk-SK"/>
              </w:rPr>
              <w:t>F, G,</w:t>
            </w:r>
            <w:r w:rsidRPr="003206B8">
              <w:rPr>
                <w:rFonts w:ascii="Calibri" w:eastAsia="Times New Roman" w:hAnsi="Calibri" w:cs="Calibri"/>
                <w:b/>
                <w:bCs/>
                <w:color w:val="000000"/>
                <w:sz w:val="20"/>
                <w:szCs w:val="20"/>
                <w:lang w:eastAsia="sk-SK"/>
              </w:rPr>
              <w:t xml:space="preserve"> </w:t>
            </w:r>
            <w:r w:rsidRPr="003206B8">
              <w:rPr>
                <w:rFonts w:ascii="Calibri" w:eastAsia="Times New Roman" w:hAnsi="Calibri" w:cs="Calibri"/>
                <w:b/>
                <w:bCs/>
                <w:color w:val="548235"/>
                <w:sz w:val="20"/>
                <w:szCs w:val="20"/>
                <w:lang w:eastAsia="sk-SK"/>
              </w:rPr>
              <w:t>J, L</w:t>
            </w:r>
          </w:p>
        </w:tc>
        <w:tc>
          <w:tcPr>
            <w:tcW w:w="426" w:type="dxa"/>
            <w:tcBorders>
              <w:top w:val="nil"/>
              <w:left w:val="nil"/>
              <w:bottom w:val="nil"/>
              <w:right w:val="single" w:sz="8" w:space="0" w:color="auto"/>
            </w:tcBorders>
            <w:shd w:val="clear" w:color="000000" w:fill="92D050"/>
            <w:noWrap/>
            <w:vAlign w:val="center"/>
            <w:hideMark/>
          </w:tcPr>
          <w:p w14:paraId="1A6E8458" w14:textId="77777777" w:rsidR="002B705C" w:rsidRPr="003206B8" w:rsidRDefault="002B705C" w:rsidP="002670CE">
            <w:pPr>
              <w:spacing w:after="0" w:line="240" w:lineRule="auto"/>
              <w:jc w:val="right"/>
              <w:rPr>
                <w:rFonts w:ascii="Calibri" w:eastAsia="Times New Roman" w:hAnsi="Calibri" w:cs="Calibri"/>
                <w:b/>
                <w:bCs/>
                <w:sz w:val="20"/>
                <w:szCs w:val="20"/>
                <w:lang w:eastAsia="sk-SK"/>
              </w:rPr>
            </w:pPr>
            <w:r w:rsidRPr="003206B8">
              <w:rPr>
                <w:rFonts w:ascii="Calibri" w:eastAsia="Times New Roman" w:hAnsi="Calibri" w:cs="Calibri"/>
                <w:b/>
                <w:bCs/>
                <w:sz w:val="20"/>
                <w:szCs w:val="20"/>
                <w:lang w:eastAsia="sk-SK"/>
              </w:rPr>
              <w:t>-1</w:t>
            </w:r>
          </w:p>
        </w:tc>
        <w:tc>
          <w:tcPr>
            <w:tcW w:w="993" w:type="dxa"/>
            <w:tcBorders>
              <w:top w:val="nil"/>
              <w:left w:val="nil"/>
              <w:bottom w:val="nil"/>
              <w:right w:val="single" w:sz="4" w:space="0" w:color="auto"/>
            </w:tcBorders>
            <w:shd w:val="clear" w:color="auto" w:fill="auto"/>
            <w:noWrap/>
            <w:vAlign w:val="center"/>
            <w:hideMark/>
          </w:tcPr>
          <w:p w14:paraId="1CD7D247" w14:textId="77777777" w:rsidR="002B705C" w:rsidRPr="003206B8" w:rsidRDefault="002B705C" w:rsidP="002670CE">
            <w:pPr>
              <w:spacing w:after="0" w:line="240" w:lineRule="auto"/>
              <w:jc w:val="right"/>
              <w:rPr>
                <w:rFonts w:ascii="Calibri" w:eastAsia="Times New Roman" w:hAnsi="Calibri" w:cs="Calibri"/>
                <w:b/>
                <w:bCs/>
                <w:sz w:val="20"/>
                <w:szCs w:val="20"/>
                <w:lang w:eastAsia="sk-SK"/>
              </w:rPr>
            </w:pPr>
            <w:r w:rsidRPr="003206B8">
              <w:rPr>
                <w:rFonts w:ascii="Calibri" w:eastAsia="Times New Roman" w:hAnsi="Calibri" w:cs="Calibri"/>
                <w:b/>
                <w:bCs/>
                <w:sz w:val="20"/>
                <w:szCs w:val="20"/>
                <w:lang w:eastAsia="sk-SK"/>
              </w:rPr>
              <w:t>2</w:t>
            </w:r>
          </w:p>
        </w:tc>
        <w:tc>
          <w:tcPr>
            <w:tcW w:w="1275" w:type="dxa"/>
            <w:tcBorders>
              <w:top w:val="nil"/>
              <w:left w:val="nil"/>
              <w:bottom w:val="nil"/>
              <w:right w:val="single" w:sz="4" w:space="0" w:color="auto"/>
            </w:tcBorders>
            <w:shd w:val="clear" w:color="auto" w:fill="auto"/>
            <w:noWrap/>
            <w:vAlign w:val="bottom"/>
            <w:hideMark/>
          </w:tcPr>
          <w:p w14:paraId="1EAAAB03" w14:textId="77777777" w:rsidR="002B705C" w:rsidRPr="003206B8" w:rsidRDefault="002B705C" w:rsidP="002670CE">
            <w:pPr>
              <w:spacing w:after="0" w:line="240" w:lineRule="auto"/>
              <w:jc w:val="right"/>
              <w:rPr>
                <w:rFonts w:ascii="Calibri" w:eastAsia="Times New Roman" w:hAnsi="Calibri" w:cs="Calibri"/>
                <w:color w:val="000000"/>
                <w:sz w:val="20"/>
                <w:szCs w:val="20"/>
                <w:lang w:eastAsia="sk-SK"/>
              </w:rPr>
            </w:pPr>
            <w:r w:rsidRPr="003206B8">
              <w:rPr>
                <w:rFonts w:ascii="Calibri" w:eastAsia="Times New Roman" w:hAnsi="Calibri" w:cs="Calibri"/>
                <w:color w:val="000000"/>
                <w:sz w:val="20"/>
                <w:szCs w:val="20"/>
                <w:lang w:eastAsia="sk-SK"/>
              </w:rPr>
              <w:t>2</w:t>
            </w:r>
          </w:p>
        </w:tc>
        <w:tc>
          <w:tcPr>
            <w:tcW w:w="1276" w:type="dxa"/>
            <w:tcBorders>
              <w:top w:val="nil"/>
              <w:left w:val="nil"/>
              <w:bottom w:val="single" w:sz="4" w:space="0" w:color="auto"/>
              <w:right w:val="single" w:sz="4" w:space="0" w:color="auto"/>
            </w:tcBorders>
            <w:shd w:val="clear" w:color="000000" w:fill="9BC2E6"/>
            <w:noWrap/>
            <w:vAlign w:val="center"/>
            <w:hideMark/>
          </w:tcPr>
          <w:p w14:paraId="146F54EE" w14:textId="77777777" w:rsidR="002B705C" w:rsidRPr="003206B8" w:rsidRDefault="002B705C" w:rsidP="002670CE">
            <w:pPr>
              <w:spacing w:after="0" w:line="240" w:lineRule="auto"/>
              <w:jc w:val="right"/>
              <w:rPr>
                <w:rFonts w:ascii="Calibri" w:eastAsia="Times New Roman" w:hAnsi="Calibri" w:cs="Calibri"/>
                <w:b/>
                <w:bCs/>
                <w:color w:val="000000"/>
                <w:sz w:val="20"/>
                <w:szCs w:val="20"/>
                <w:lang w:eastAsia="sk-SK"/>
              </w:rPr>
            </w:pPr>
            <w:r w:rsidRPr="003206B8">
              <w:rPr>
                <w:rFonts w:ascii="Calibri" w:eastAsia="Times New Roman" w:hAnsi="Calibri" w:cs="Calibri"/>
                <w:b/>
                <w:bCs/>
                <w:color w:val="000000"/>
                <w:sz w:val="20"/>
                <w:szCs w:val="20"/>
                <w:lang w:eastAsia="sk-SK"/>
              </w:rPr>
              <w:t>2,0</w:t>
            </w:r>
          </w:p>
        </w:tc>
      </w:tr>
      <w:tr w:rsidR="002B705C" w:rsidRPr="003206B8" w14:paraId="3D2973CF" w14:textId="77777777" w:rsidTr="002670CE">
        <w:trPr>
          <w:trHeight w:val="34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00450" w14:textId="77777777" w:rsidR="002B705C" w:rsidRPr="003206B8" w:rsidRDefault="002B705C" w:rsidP="002670CE">
            <w:pPr>
              <w:spacing w:after="0" w:line="240" w:lineRule="auto"/>
              <w:rPr>
                <w:rFonts w:ascii="Calibri" w:eastAsia="Times New Roman" w:hAnsi="Calibri" w:cs="Calibri"/>
                <w:color w:val="000000"/>
                <w:sz w:val="20"/>
                <w:szCs w:val="20"/>
                <w:lang w:eastAsia="sk-SK"/>
              </w:rPr>
            </w:pPr>
            <w:r w:rsidRPr="003206B8">
              <w:rPr>
                <w:rFonts w:ascii="Calibri" w:eastAsia="Times New Roman" w:hAnsi="Calibri" w:cs="Calibri"/>
                <w:color w:val="000000"/>
                <w:sz w:val="20"/>
                <w:szCs w:val="20"/>
                <w:lang w:eastAsia="sk-SK"/>
              </w:rPr>
              <w:t> </w:t>
            </w:r>
          </w:p>
        </w:tc>
        <w:tc>
          <w:tcPr>
            <w:tcW w:w="622" w:type="dxa"/>
            <w:tcBorders>
              <w:top w:val="single" w:sz="4" w:space="0" w:color="auto"/>
              <w:left w:val="nil"/>
              <w:bottom w:val="single" w:sz="4" w:space="0" w:color="auto"/>
              <w:right w:val="single" w:sz="4" w:space="0" w:color="auto"/>
            </w:tcBorders>
            <w:shd w:val="clear" w:color="auto" w:fill="auto"/>
            <w:noWrap/>
            <w:vAlign w:val="bottom"/>
            <w:hideMark/>
          </w:tcPr>
          <w:p w14:paraId="715218FF" w14:textId="77777777" w:rsidR="002B705C" w:rsidRPr="003206B8" w:rsidRDefault="002B705C" w:rsidP="002670CE">
            <w:pPr>
              <w:spacing w:after="0" w:line="240" w:lineRule="auto"/>
              <w:jc w:val="right"/>
              <w:rPr>
                <w:rFonts w:ascii="Calibri" w:eastAsia="Times New Roman" w:hAnsi="Calibri" w:cs="Calibri"/>
                <w:color w:val="000000"/>
                <w:sz w:val="20"/>
                <w:szCs w:val="20"/>
                <w:lang w:eastAsia="sk-SK"/>
              </w:rPr>
            </w:pPr>
            <w:r w:rsidRPr="003206B8">
              <w:rPr>
                <w:rFonts w:ascii="Calibri" w:eastAsia="Times New Roman" w:hAnsi="Calibri" w:cs="Calibri"/>
                <w:color w:val="000000"/>
                <w:sz w:val="20"/>
                <w:szCs w:val="20"/>
                <w:lang w:eastAsia="sk-SK"/>
              </w:rPr>
              <w:t>6.3</w:t>
            </w:r>
          </w:p>
        </w:tc>
        <w:tc>
          <w:tcPr>
            <w:tcW w:w="1788" w:type="dxa"/>
            <w:tcBorders>
              <w:top w:val="single" w:sz="4" w:space="0" w:color="auto"/>
              <w:left w:val="nil"/>
              <w:bottom w:val="single" w:sz="4" w:space="0" w:color="auto"/>
              <w:right w:val="nil"/>
            </w:tcBorders>
            <w:shd w:val="clear" w:color="auto" w:fill="auto"/>
            <w:noWrap/>
            <w:vAlign w:val="bottom"/>
            <w:hideMark/>
          </w:tcPr>
          <w:p w14:paraId="7595E7B8" w14:textId="77777777" w:rsidR="002B705C" w:rsidRPr="003206B8" w:rsidRDefault="002B705C" w:rsidP="002670CE">
            <w:pPr>
              <w:spacing w:after="0" w:line="240" w:lineRule="auto"/>
              <w:rPr>
                <w:rFonts w:ascii="Calibri" w:eastAsia="Times New Roman" w:hAnsi="Calibri" w:cs="Calibri"/>
                <w:color w:val="000000"/>
                <w:sz w:val="20"/>
                <w:szCs w:val="20"/>
                <w:lang w:eastAsia="sk-SK"/>
              </w:rPr>
            </w:pPr>
            <w:r w:rsidRPr="003206B8">
              <w:rPr>
                <w:rFonts w:ascii="Calibri" w:eastAsia="Times New Roman" w:hAnsi="Calibri" w:cs="Calibri"/>
                <w:color w:val="000000"/>
                <w:sz w:val="20"/>
                <w:szCs w:val="20"/>
                <w:lang w:eastAsia="sk-SK"/>
              </w:rPr>
              <w:t>Rybolov</w:t>
            </w:r>
          </w:p>
        </w:tc>
        <w:tc>
          <w:tcPr>
            <w:tcW w:w="1842"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12E76C11" w14:textId="77777777" w:rsidR="002B705C" w:rsidRPr="003206B8" w:rsidRDefault="002B705C" w:rsidP="002670CE">
            <w:pPr>
              <w:spacing w:after="0" w:line="240" w:lineRule="auto"/>
              <w:rPr>
                <w:rFonts w:ascii="Calibri" w:eastAsia="Times New Roman" w:hAnsi="Calibri" w:cs="Calibri"/>
                <w:b/>
                <w:bCs/>
                <w:color w:val="000000"/>
                <w:sz w:val="20"/>
                <w:szCs w:val="20"/>
                <w:lang w:eastAsia="sk-SK"/>
              </w:rPr>
            </w:pPr>
            <w:r w:rsidRPr="003206B8">
              <w:rPr>
                <w:rFonts w:ascii="Calibri" w:eastAsia="Times New Roman" w:hAnsi="Calibri" w:cs="Calibri"/>
                <w:b/>
                <w:bCs/>
                <w:color w:val="FF0000"/>
                <w:sz w:val="20"/>
                <w:szCs w:val="20"/>
                <w:lang w:eastAsia="sk-SK"/>
              </w:rPr>
              <w:t>A, D,</w:t>
            </w:r>
            <w:r w:rsidRPr="003206B8">
              <w:rPr>
                <w:rFonts w:ascii="Calibri" w:eastAsia="Times New Roman" w:hAnsi="Calibri" w:cs="Calibri"/>
                <w:b/>
                <w:bCs/>
                <w:color w:val="000000"/>
                <w:sz w:val="20"/>
                <w:szCs w:val="20"/>
                <w:lang w:eastAsia="sk-SK"/>
              </w:rPr>
              <w:t xml:space="preserve"> </w:t>
            </w:r>
            <w:r w:rsidRPr="003206B8">
              <w:rPr>
                <w:rFonts w:ascii="Calibri" w:eastAsia="Times New Roman" w:hAnsi="Calibri" w:cs="Calibri"/>
                <w:b/>
                <w:bCs/>
                <w:color w:val="F4B084"/>
                <w:sz w:val="20"/>
                <w:szCs w:val="20"/>
                <w:lang w:eastAsia="sk-SK"/>
              </w:rPr>
              <w:t>E, F, G,</w:t>
            </w:r>
            <w:r w:rsidRPr="003206B8">
              <w:rPr>
                <w:rFonts w:ascii="Calibri" w:eastAsia="Times New Roman" w:hAnsi="Calibri" w:cs="Calibri"/>
                <w:b/>
                <w:bCs/>
                <w:color w:val="A9D08E"/>
                <w:sz w:val="20"/>
                <w:szCs w:val="20"/>
                <w:lang w:eastAsia="sk-SK"/>
              </w:rPr>
              <w:t xml:space="preserve"> J, L</w:t>
            </w:r>
          </w:p>
        </w:tc>
        <w:tc>
          <w:tcPr>
            <w:tcW w:w="426" w:type="dxa"/>
            <w:tcBorders>
              <w:top w:val="single" w:sz="4" w:space="0" w:color="auto"/>
              <w:left w:val="nil"/>
              <w:bottom w:val="single" w:sz="8" w:space="0" w:color="auto"/>
              <w:right w:val="single" w:sz="8" w:space="0" w:color="auto"/>
            </w:tcBorders>
            <w:shd w:val="clear" w:color="000000" w:fill="FFF2CC"/>
            <w:noWrap/>
            <w:vAlign w:val="center"/>
            <w:hideMark/>
          </w:tcPr>
          <w:p w14:paraId="53298325" w14:textId="77777777" w:rsidR="002B705C" w:rsidRPr="003206B8" w:rsidRDefault="002B705C" w:rsidP="002670CE">
            <w:pPr>
              <w:spacing w:after="0" w:line="240" w:lineRule="auto"/>
              <w:jc w:val="right"/>
              <w:rPr>
                <w:rFonts w:ascii="Calibri" w:eastAsia="Times New Roman" w:hAnsi="Calibri" w:cs="Calibri"/>
                <w:b/>
                <w:bCs/>
                <w:sz w:val="20"/>
                <w:szCs w:val="20"/>
                <w:lang w:eastAsia="sk-SK"/>
              </w:rPr>
            </w:pPr>
            <w:r w:rsidRPr="003206B8">
              <w:rPr>
                <w:rFonts w:ascii="Calibri" w:eastAsia="Times New Roman" w:hAnsi="Calibri" w:cs="Calibri"/>
                <w:b/>
                <w:bCs/>
                <w:sz w:val="20"/>
                <w:szCs w:val="20"/>
                <w:lang w:eastAsia="sk-SK"/>
              </w:rPr>
              <w:t>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7A98FA67" w14:textId="77777777" w:rsidR="002B705C" w:rsidRPr="003206B8" w:rsidRDefault="002B705C" w:rsidP="002670CE">
            <w:pPr>
              <w:spacing w:after="0" w:line="240" w:lineRule="auto"/>
              <w:jc w:val="right"/>
              <w:rPr>
                <w:rFonts w:ascii="Calibri" w:eastAsia="Times New Roman" w:hAnsi="Calibri" w:cs="Calibri"/>
                <w:b/>
                <w:bCs/>
                <w:sz w:val="20"/>
                <w:szCs w:val="20"/>
                <w:lang w:eastAsia="sk-SK"/>
              </w:rPr>
            </w:pPr>
            <w:r w:rsidRPr="003206B8">
              <w:rPr>
                <w:rFonts w:ascii="Calibri" w:eastAsia="Times New Roman" w:hAnsi="Calibri" w:cs="Calibri"/>
                <w:b/>
                <w:bCs/>
                <w:sz w:val="20"/>
                <w:szCs w:val="20"/>
                <w:lang w:eastAsia="sk-SK"/>
              </w:rPr>
              <w:t>1</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59CB4B0F" w14:textId="77777777" w:rsidR="002B705C" w:rsidRPr="003206B8" w:rsidRDefault="002B705C" w:rsidP="002670CE">
            <w:pPr>
              <w:spacing w:after="0" w:line="240" w:lineRule="auto"/>
              <w:jc w:val="right"/>
              <w:rPr>
                <w:rFonts w:ascii="Calibri" w:eastAsia="Times New Roman" w:hAnsi="Calibri" w:cs="Calibri"/>
                <w:color w:val="000000"/>
                <w:sz w:val="20"/>
                <w:szCs w:val="20"/>
                <w:lang w:eastAsia="sk-SK"/>
              </w:rPr>
            </w:pPr>
            <w:r w:rsidRPr="003206B8">
              <w:rPr>
                <w:rFonts w:ascii="Calibri" w:eastAsia="Times New Roman" w:hAnsi="Calibri" w:cs="Calibri"/>
                <w:color w:val="000000"/>
                <w:sz w:val="20"/>
                <w:szCs w:val="20"/>
                <w:lang w:eastAsia="sk-SK"/>
              </w:rPr>
              <w:t>1</w:t>
            </w:r>
          </w:p>
        </w:tc>
        <w:tc>
          <w:tcPr>
            <w:tcW w:w="1276" w:type="dxa"/>
            <w:tcBorders>
              <w:top w:val="nil"/>
              <w:left w:val="nil"/>
              <w:bottom w:val="single" w:sz="4" w:space="0" w:color="auto"/>
              <w:right w:val="single" w:sz="4" w:space="0" w:color="auto"/>
            </w:tcBorders>
            <w:shd w:val="clear" w:color="000000" w:fill="DDEBF7"/>
            <w:noWrap/>
            <w:vAlign w:val="center"/>
            <w:hideMark/>
          </w:tcPr>
          <w:p w14:paraId="670B7236" w14:textId="77777777" w:rsidR="002B705C" w:rsidRPr="003206B8" w:rsidRDefault="002B705C" w:rsidP="002670CE">
            <w:pPr>
              <w:keepNext/>
              <w:spacing w:after="0" w:line="240" w:lineRule="auto"/>
              <w:jc w:val="right"/>
              <w:rPr>
                <w:rFonts w:ascii="Calibri" w:eastAsia="Times New Roman" w:hAnsi="Calibri" w:cs="Calibri"/>
                <w:b/>
                <w:bCs/>
                <w:color w:val="000000"/>
                <w:sz w:val="20"/>
                <w:szCs w:val="20"/>
                <w:lang w:eastAsia="sk-SK"/>
              </w:rPr>
            </w:pPr>
            <w:r w:rsidRPr="003206B8">
              <w:rPr>
                <w:rFonts w:ascii="Calibri" w:eastAsia="Times New Roman" w:hAnsi="Calibri" w:cs="Calibri"/>
                <w:b/>
                <w:bCs/>
                <w:color w:val="000000"/>
                <w:sz w:val="20"/>
                <w:szCs w:val="20"/>
                <w:lang w:eastAsia="sk-SK"/>
              </w:rPr>
              <w:t>1,0</w:t>
            </w:r>
          </w:p>
        </w:tc>
      </w:tr>
    </w:tbl>
    <w:p w14:paraId="7A4C9F24" w14:textId="1A600E70" w:rsidR="002B705C" w:rsidRPr="003B0FD1" w:rsidRDefault="002B705C" w:rsidP="002B705C">
      <w:pPr>
        <w:pStyle w:val="Popis"/>
        <w:rPr>
          <w:rFonts w:cstheme="minorHAnsi"/>
          <w:b/>
          <w:i w:val="0"/>
          <w:color w:val="auto"/>
        </w:rPr>
      </w:pPr>
      <w:r w:rsidRPr="003B0FD1">
        <w:rPr>
          <w:b/>
          <w:i w:val="0"/>
          <w:color w:val="auto"/>
        </w:rPr>
        <w:t xml:space="preserve">Tabuľka </w:t>
      </w:r>
      <w:r w:rsidR="00FF36C8">
        <w:rPr>
          <w:b/>
          <w:i w:val="0"/>
          <w:color w:val="auto"/>
        </w:rPr>
        <w:fldChar w:fldCharType="begin"/>
      </w:r>
      <w:r w:rsidR="00FF36C8">
        <w:rPr>
          <w:b/>
          <w:i w:val="0"/>
          <w:color w:val="auto"/>
        </w:rPr>
        <w:instrText xml:space="preserve"> SEQ Tabuľka \* ARABIC </w:instrText>
      </w:r>
      <w:r w:rsidR="00FF36C8">
        <w:rPr>
          <w:b/>
          <w:i w:val="0"/>
          <w:color w:val="auto"/>
        </w:rPr>
        <w:fldChar w:fldCharType="separate"/>
      </w:r>
      <w:r w:rsidR="00FF36C8">
        <w:rPr>
          <w:b/>
          <w:i w:val="0"/>
          <w:noProof/>
          <w:color w:val="auto"/>
        </w:rPr>
        <w:t>11</w:t>
      </w:r>
      <w:r w:rsidR="00FF36C8">
        <w:rPr>
          <w:b/>
          <w:i w:val="0"/>
          <w:color w:val="auto"/>
        </w:rPr>
        <w:fldChar w:fldCharType="end"/>
      </w:r>
      <w:r w:rsidRPr="003B0FD1">
        <w:rPr>
          <w:b/>
          <w:i w:val="0"/>
          <w:color w:val="auto"/>
        </w:rPr>
        <w:t>. Posúdenie klimatickej zraniteľnosti a významnosti produktu CR (letná sezóna). Zdroj: Vlastné spracovanie KRI, 2018.</w:t>
      </w:r>
    </w:p>
    <w:p w14:paraId="68822B33" w14:textId="77777777" w:rsidR="002B705C" w:rsidRDefault="002B705C" w:rsidP="002B705C">
      <w:pPr>
        <w:autoSpaceDE w:val="0"/>
        <w:autoSpaceDN w:val="0"/>
        <w:adjustRightInd w:val="0"/>
        <w:spacing w:after="0" w:line="276" w:lineRule="auto"/>
        <w:jc w:val="both"/>
        <w:rPr>
          <w:rFonts w:cstheme="minorHAnsi"/>
          <w:color w:val="1D1D1B"/>
        </w:rPr>
      </w:pPr>
      <w:r>
        <w:rPr>
          <w:rFonts w:cstheme="minorHAnsi"/>
        </w:rPr>
        <w:t xml:space="preserve">Analýza </w:t>
      </w:r>
      <w:r>
        <w:t xml:space="preserve">ponuky v cestovnom ruchu v NP Slovenský raj vzhľadom na dopady zmeny klímy vychádza čiastočne z metodológie, použitej v rámci štúdie </w:t>
      </w:r>
      <w:r w:rsidRPr="0057332F">
        <w:rPr>
          <w:rFonts w:cstheme="minorHAnsi"/>
        </w:rPr>
        <w:t>ClimAlpTour (</w:t>
      </w:r>
      <w:r w:rsidRPr="0057332F">
        <w:rPr>
          <w:rFonts w:cstheme="minorHAnsi"/>
          <w:color w:val="1D1D1B"/>
        </w:rPr>
        <w:t>Climate Change and its Impacts</w:t>
      </w:r>
      <w:r>
        <w:rPr>
          <w:rFonts w:cstheme="minorHAnsi"/>
          <w:color w:val="1D1D1B"/>
        </w:rPr>
        <w:t xml:space="preserve"> </w:t>
      </w:r>
      <w:r w:rsidRPr="0057332F">
        <w:rPr>
          <w:rFonts w:cstheme="minorHAnsi"/>
          <w:color w:val="1D1D1B"/>
        </w:rPr>
        <w:t>on</w:t>
      </w:r>
      <w:r>
        <w:rPr>
          <w:rFonts w:cstheme="minorHAnsi"/>
          <w:color w:val="1D1D1B"/>
        </w:rPr>
        <w:t xml:space="preserve"> </w:t>
      </w:r>
      <w:r w:rsidRPr="0057332F">
        <w:rPr>
          <w:rFonts w:cstheme="minorHAnsi"/>
          <w:color w:val="1D1D1B"/>
        </w:rPr>
        <w:t>Tourism in the Alpine Space</w:t>
      </w:r>
      <w:r>
        <w:rPr>
          <w:rFonts w:cstheme="minorHAnsi"/>
          <w:color w:val="1D1D1B"/>
        </w:rPr>
        <w:t xml:space="preserve"> 2011) a je rámcovo priblížená v 2. kapitole tohto dokumentu. </w:t>
      </w:r>
    </w:p>
    <w:p w14:paraId="64C03EEF" w14:textId="0E7CC46D" w:rsidR="002B705C" w:rsidRDefault="002B705C" w:rsidP="002B705C">
      <w:pPr>
        <w:spacing w:after="0" w:line="276" w:lineRule="auto"/>
        <w:jc w:val="both"/>
        <w:rPr>
          <w:rFonts w:ascii="Calibri" w:eastAsia="Times New Roman" w:hAnsi="Calibri" w:cs="Calibri"/>
          <w:bCs/>
          <w:color w:val="000000"/>
          <w:lang w:eastAsia="sk-SK"/>
        </w:rPr>
      </w:pPr>
      <w:r>
        <w:rPr>
          <w:rFonts w:cstheme="minorHAnsi"/>
          <w:color w:val="1D1D1B"/>
        </w:rPr>
        <w:t>V stĺpci</w:t>
      </w:r>
      <w:r w:rsidRPr="003B0FD1">
        <w:rPr>
          <w:rFonts w:ascii="Calibri" w:eastAsia="Times New Roman" w:hAnsi="Calibri" w:cs="Calibri"/>
          <w:bCs/>
          <w:color w:val="000000"/>
          <w:sz w:val="20"/>
          <w:szCs w:val="20"/>
          <w:lang w:eastAsia="sk-SK"/>
        </w:rPr>
        <w:t xml:space="preserve">  </w:t>
      </w:r>
      <w:r w:rsidRPr="00FD3759">
        <w:rPr>
          <w:rFonts w:ascii="Calibri" w:eastAsia="Times New Roman" w:hAnsi="Calibri" w:cs="Calibri"/>
          <w:bCs/>
          <w:color w:val="000000"/>
          <w:szCs w:val="20"/>
          <w:lang w:eastAsia="sk-SK"/>
        </w:rPr>
        <w:t>Dopady ZK (kód) -</w:t>
      </w:r>
      <w:r w:rsidRPr="00FD3759">
        <w:rPr>
          <w:rFonts w:ascii="Calibri" w:eastAsia="Times New Roman" w:hAnsi="Calibri" w:cs="Calibri"/>
          <w:b/>
          <w:bCs/>
          <w:color w:val="000000"/>
          <w:szCs w:val="20"/>
          <w:lang w:eastAsia="sk-SK"/>
        </w:rPr>
        <w:t xml:space="preserve"> Súčasná zraniteľnosť produktov CR</w:t>
      </w:r>
      <w:r>
        <w:rPr>
          <w:rFonts w:ascii="Calibri" w:eastAsia="Times New Roman" w:hAnsi="Calibri" w:cs="Calibri"/>
          <w:b/>
          <w:bCs/>
          <w:color w:val="000000"/>
          <w:szCs w:val="20"/>
          <w:lang w:eastAsia="sk-SK"/>
        </w:rPr>
        <w:t xml:space="preserve"> (a) </w:t>
      </w:r>
      <w:r w:rsidRPr="00E375DA">
        <w:rPr>
          <w:rFonts w:ascii="Calibri" w:eastAsia="Times New Roman" w:hAnsi="Calibri" w:cs="Calibri"/>
          <w:bCs/>
          <w:color w:val="000000"/>
          <w:szCs w:val="20"/>
          <w:lang w:eastAsia="sk-SK"/>
        </w:rPr>
        <w:t>sú</w:t>
      </w:r>
      <w:r>
        <w:rPr>
          <w:rFonts w:ascii="Calibri" w:eastAsia="Times New Roman" w:hAnsi="Calibri" w:cs="Calibri"/>
          <w:b/>
          <w:bCs/>
          <w:color w:val="000000"/>
          <w:szCs w:val="20"/>
          <w:lang w:eastAsia="sk-SK"/>
        </w:rPr>
        <w:t xml:space="preserve"> </w:t>
      </w:r>
      <w:r>
        <w:rPr>
          <w:rFonts w:cstheme="minorHAnsi"/>
          <w:color w:val="1D1D1B"/>
        </w:rPr>
        <w:t>jednotlivé dopady zmeny klímy, (vysvetlené v predchádzajúcom odseku - kódy A-L) priradené k jednotlivým produktom alebo podproduktom CR podľa identifikovaných ohrození na základe expertného odhadu (</w:t>
      </w:r>
      <w:r w:rsidRPr="00B2488E">
        <w:rPr>
          <w:rFonts w:cstheme="minorHAnsi"/>
          <w:color w:val="1D1D1B"/>
          <w:highlight w:val="yellow"/>
        </w:rPr>
        <w:t xml:space="preserve">Príloha </w:t>
      </w:r>
      <w:r w:rsidR="00E311A7">
        <w:rPr>
          <w:rFonts w:cstheme="minorHAnsi"/>
          <w:color w:val="1D1D1B"/>
        </w:rPr>
        <w:t>2</w:t>
      </w:r>
      <w:r>
        <w:rPr>
          <w:rFonts w:cstheme="minorHAnsi"/>
          <w:color w:val="1D1D1B"/>
        </w:rPr>
        <w:t xml:space="preserve"> – </w:t>
      </w:r>
      <w:r w:rsidRPr="00F8088C">
        <w:rPr>
          <w:rFonts w:cstheme="minorHAnsi"/>
          <w:i/>
          <w:color w:val="1D1D1B"/>
        </w:rPr>
        <w:t xml:space="preserve">tabuľka </w:t>
      </w:r>
      <w:r w:rsidRPr="003207EA">
        <w:rPr>
          <w:rFonts w:cstheme="minorHAnsi"/>
          <w:i/>
          <w:color w:val="1D1D1B"/>
        </w:rPr>
        <w:t>od OOCR</w:t>
      </w:r>
      <w:r>
        <w:rPr>
          <w:rFonts w:cstheme="minorHAnsi"/>
          <w:color w:val="1D1D1B"/>
        </w:rPr>
        <w:t>)(oranžové písmená – mierne negatívne, červené – významné negatívne) a identifikovaných príležitostí (svetlozelené písmena – mierne pozitívne, tmavozelené – významne pozitívne)</w:t>
      </w:r>
      <w:r>
        <w:rPr>
          <w:rFonts w:cstheme="minorHAnsi"/>
          <w:color w:val="1D1D1B"/>
          <w:sz w:val="24"/>
        </w:rPr>
        <w:t xml:space="preserve">. Súčasťou tohto stĺpca je aj </w:t>
      </w:r>
      <w:r w:rsidRPr="00E375DA">
        <w:rPr>
          <w:rFonts w:cstheme="minorHAnsi"/>
          <w:b/>
          <w:color w:val="1D1D1B"/>
          <w:sz w:val="24"/>
        </w:rPr>
        <w:t>priradenie kategórie súčasnej klimatickej zraniteľnosti</w:t>
      </w:r>
      <w:r>
        <w:rPr>
          <w:rFonts w:cstheme="minorHAnsi"/>
          <w:color w:val="1D1D1B"/>
          <w:sz w:val="24"/>
        </w:rPr>
        <w:t xml:space="preserve"> produktov CR (1=klimatický prínos, 0=minimálna alebo veľmi nízka klimatická zraniteľnosť, 1=mierna klimatická zraniteľnosť, 2=významná klimatická zraniteľnosť. Stĺpec (b) vyjadruje kategóriu odborne odhadnutého </w:t>
      </w:r>
      <w:r w:rsidRPr="006E70D4">
        <w:rPr>
          <w:rFonts w:cstheme="minorHAnsi"/>
          <w:b/>
          <w:color w:val="1D1D1B"/>
          <w:sz w:val="24"/>
        </w:rPr>
        <w:t>dopytu</w:t>
      </w:r>
      <w:r>
        <w:rPr>
          <w:rStyle w:val="Odkaznapoznmkupodiarou"/>
          <w:rFonts w:cstheme="minorHAnsi"/>
          <w:color w:val="1D1D1B"/>
          <w:sz w:val="24"/>
        </w:rPr>
        <w:footnoteReference w:id="3"/>
      </w:r>
      <w:r>
        <w:rPr>
          <w:rFonts w:cstheme="minorHAnsi"/>
          <w:color w:val="1D1D1B"/>
          <w:sz w:val="24"/>
        </w:rPr>
        <w:t xml:space="preserve">, teda atraktivity, záujmu a návštevnosti produktov CR (1=nízky, 2=stredný, 3=vysoký dopyt). Stĺpec (c) predstavuje Priamy </w:t>
      </w:r>
      <w:r>
        <w:rPr>
          <w:rFonts w:ascii="Calibri" w:eastAsia="Times New Roman" w:hAnsi="Calibri" w:cs="Calibri"/>
          <w:b/>
          <w:bCs/>
          <w:color w:val="000000"/>
          <w:szCs w:val="20"/>
          <w:lang w:eastAsia="sk-SK"/>
        </w:rPr>
        <w:t>e</w:t>
      </w:r>
      <w:r w:rsidRPr="006E70D4">
        <w:rPr>
          <w:rFonts w:ascii="Calibri" w:eastAsia="Times New Roman" w:hAnsi="Calibri" w:cs="Calibri"/>
          <w:b/>
          <w:bCs/>
          <w:color w:val="000000"/>
          <w:szCs w:val="20"/>
          <w:lang w:eastAsia="sk-SK"/>
        </w:rPr>
        <w:t xml:space="preserve">konomický prínos produktu CR </w:t>
      </w:r>
      <w:r w:rsidRPr="006E70D4">
        <w:rPr>
          <w:rFonts w:ascii="Calibri" w:eastAsia="Times New Roman" w:hAnsi="Calibri" w:cs="Calibri"/>
          <w:color w:val="000000"/>
          <w:szCs w:val="20"/>
          <w:lang w:eastAsia="sk-SK"/>
        </w:rPr>
        <w:t>(pracovné miesta</w:t>
      </w:r>
      <w:r>
        <w:rPr>
          <w:rFonts w:ascii="Calibri" w:eastAsia="Times New Roman" w:hAnsi="Calibri" w:cs="Calibri"/>
          <w:color w:val="000000"/>
          <w:szCs w:val="20"/>
          <w:lang w:eastAsia="sk-SK"/>
        </w:rPr>
        <w:t>, ktoré sa priamo viažu na predmetný produkt CR</w:t>
      </w:r>
      <w:r w:rsidRPr="006E70D4">
        <w:rPr>
          <w:rFonts w:ascii="Calibri" w:eastAsia="Times New Roman" w:hAnsi="Calibri" w:cs="Calibri"/>
          <w:color w:val="000000"/>
          <w:szCs w:val="20"/>
          <w:lang w:eastAsia="sk-SK"/>
        </w:rPr>
        <w:t xml:space="preserve">, </w:t>
      </w:r>
      <w:r>
        <w:rPr>
          <w:rFonts w:ascii="Calibri" w:eastAsia="Times New Roman" w:hAnsi="Calibri" w:cs="Calibri"/>
          <w:color w:val="000000"/>
          <w:szCs w:val="20"/>
          <w:lang w:eastAsia="sk-SK"/>
        </w:rPr>
        <w:t>existencia poplatku za vstup, využitie produktových služieb; 1=nízky</w:t>
      </w:r>
      <w:r w:rsidRPr="006E70D4">
        <w:rPr>
          <w:rFonts w:ascii="Calibri" w:eastAsia="Times New Roman" w:hAnsi="Calibri" w:cs="Calibri"/>
          <w:color w:val="000000"/>
          <w:szCs w:val="20"/>
          <w:lang w:eastAsia="sk-SK"/>
        </w:rPr>
        <w:t>, 2</w:t>
      </w:r>
      <w:r>
        <w:rPr>
          <w:rFonts w:ascii="Calibri" w:eastAsia="Times New Roman" w:hAnsi="Calibri" w:cs="Calibri"/>
          <w:color w:val="000000"/>
          <w:szCs w:val="20"/>
          <w:lang w:eastAsia="sk-SK"/>
        </w:rPr>
        <w:t>=</w:t>
      </w:r>
      <w:r w:rsidRPr="006E70D4">
        <w:rPr>
          <w:rFonts w:ascii="Calibri" w:eastAsia="Times New Roman" w:hAnsi="Calibri" w:cs="Calibri"/>
          <w:color w:val="000000"/>
          <w:szCs w:val="20"/>
          <w:lang w:eastAsia="sk-SK"/>
        </w:rPr>
        <w:t>stredný, 1</w:t>
      </w:r>
      <w:r>
        <w:rPr>
          <w:rFonts w:ascii="Calibri" w:eastAsia="Times New Roman" w:hAnsi="Calibri" w:cs="Calibri"/>
          <w:color w:val="000000"/>
          <w:szCs w:val="20"/>
          <w:lang w:eastAsia="sk-SK"/>
        </w:rPr>
        <w:t xml:space="preserve">=vysoký). Posledný stĺpec (d) predstavuje </w:t>
      </w:r>
      <w:r w:rsidRPr="00D9228B">
        <w:rPr>
          <w:rFonts w:ascii="Calibri" w:eastAsia="Times New Roman" w:hAnsi="Calibri" w:cs="Calibri"/>
          <w:b/>
          <w:bCs/>
          <w:color w:val="000000"/>
          <w:lang w:eastAsia="sk-SK"/>
        </w:rPr>
        <w:t xml:space="preserve">Významnosť  produktu CR </w:t>
      </w:r>
      <w:r w:rsidRPr="00D9228B">
        <w:rPr>
          <w:rFonts w:ascii="Calibri" w:eastAsia="Times New Roman" w:hAnsi="Calibri" w:cs="Calibri"/>
          <w:bCs/>
          <w:color w:val="000000"/>
          <w:lang w:eastAsia="sk-SK"/>
        </w:rPr>
        <w:t>a je získaná ako aritmetický  priemer z dvoch predchádzajúcich stĺpcov {(b)+(c)}/2.</w:t>
      </w:r>
      <w:r>
        <w:rPr>
          <w:rFonts w:ascii="Calibri" w:eastAsia="Times New Roman" w:hAnsi="Calibri" w:cs="Calibri"/>
          <w:bCs/>
          <w:color w:val="000000"/>
          <w:lang w:eastAsia="sk-SK"/>
        </w:rPr>
        <w:t xml:space="preserve"> </w:t>
      </w:r>
    </w:p>
    <w:p w14:paraId="3E3B36E2" w14:textId="77777777" w:rsidR="002B705C" w:rsidRPr="00D9228B" w:rsidRDefault="002B705C" w:rsidP="002B705C">
      <w:pPr>
        <w:spacing w:after="0" w:line="240" w:lineRule="auto"/>
        <w:jc w:val="both"/>
        <w:rPr>
          <w:rFonts w:ascii="Calibri" w:eastAsia="Times New Roman" w:hAnsi="Calibri" w:cs="Calibri"/>
          <w:bCs/>
          <w:color w:val="000000"/>
          <w:lang w:eastAsia="sk-SK"/>
        </w:rPr>
      </w:pPr>
    </w:p>
    <w:p w14:paraId="46E59946" w14:textId="77777777" w:rsidR="002B705C" w:rsidRPr="00C97EAA" w:rsidRDefault="002B705C" w:rsidP="00C97EAA">
      <w:pPr>
        <w:spacing w:after="0" w:line="276" w:lineRule="auto"/>
        <w:jc w:val="both"/>
        <w:rPr>
          <w:rFonts w:cstheme="minorHAnsi"/>
        </w:rPr>
      </w:pPr>
    </w:p>
    <w:p w14:paraId="7135FFC0" w14:textId="77777777" w:rsidR="002B705C" w:rsidRDefault="002B705C" w:rsidP="00E30BB1">
      <w:pPr>
        <w:pStyle w:val="Nadpis3"/>
        <w:numPr>
          <w:ilvl w:val="2"/>
          <w:numId w:val="5"/>
        </w:numPr>
      </w:pPr>
      <w:bookmarkStart w:id="17" w:name="_Toc509383582"/>
      <w:r>
        <w:t>Dopady zmeny klímy na zimný cestovný ruch v NP Slovenský raj</w:t>
      </w:r>
      <w:bookmarkEnd w:id="17"/>
    </w:p>
    <w:p w14:paraId="3FA14E94" w14:textId="77777777" w:rsidR="002B705C" w:rsidRDefault="002B705C" w:rsidP="002B705C"/>
    <w:p w14:paraId="2A5057E9" w14:textId="77777777" w:rsidR="002B705C" w:rsidRDefault="002B705C" w:rsidP="002B705C">
      <w:pPr>
        <w:jc w:val="both"/>
      </w:pPr>
      <w:r>
        <w:t>Zmena klímy v nasledujúcich dekádach výrazne ovplyvní najmä zimný cestovný ruch, ktorý sa aj v NP Slovenský raj čiastočne viaže na lyžiarsky priemysel, ale aj na ďalšie zimné športy či atrakcie (ľadopády, zamrznutý Hornád). Hlavným prejavom bude postupný nárast počtu dní s teplotami vzduchu nad bodom mrazu ako aj rýchle striedanie teplôt vzduchu, čo bude spôsobovať nestabilitu snehovej pokrývky a v nižších nadmorských výškach (400m n. m. – 800m n. m.) celkovú stratu schopnosti udržania sa snehovej pokrývky. Pod vplyvom budúcich scenárov sa dá očakávať, že lyžiarsky priemysel a aktivity viazané na sneh najmä v nízkych polohách budú v budúcich desaťročiach zápasiť s existenčnými problémami. Nie menej dôležitou je aj postupná strata idylického vizuálu zasneženej zimnej krajiny. Je pravdepodobné, že identifikované dopady</w:t>
      </w:r>
      <w:r w:rsidRPr="0084541C">
        <w:t xml:space="preserve"> </w:t>
      </w:r>
      <w:r>
        <w:t>sa budú v budúcnosti intenzifikovať.</w:t>
      </w:r>
    </w:p>
    <w:p w14:paraId="67495ECF" w14:textId="5BD48071" w:rsidR="002B705C" w:rsidRDefault="002B705C" w:rsidP="002B705C">
      <w:r>
        <w:t>Zoznam identifikovaných kľúčových dopadov zmeny klímy pre zimný CR v NP Slovenský raj na základe klimatologického  a expertného posudku:</w:t>
      </w:r>
    </w:p>
    <w:p w14:paraId="04C70AE3" w14:textId="77777777" w:rsidR="002B705C" w:rsidRDefault="002B705C" w:rsidP="00E30BB1">
      <w:pPr>
        <w:pStyle w:val="Odsekzoznamu"/>
        <w:numPr>
          <w:ilvl w:val="0"/>
          <w:numId w:val="4"/>
        </w:numPr>
        <w:spacing w:line="276" w:lineRule="auto"/>
        <w:jc w:val="both"/>
      </w:pPr>
      <w:r>
        <w:lastRenderedPageBreak/>
        <w:t>Zvyšovanie priemernej teploty počas zimných mesiacov prináša nestabilnú alebo žiadnu snehovú pokrývku a problémy so zamŕzaním vodných plôch.</w:t>
      </w:r>
    </w:p>
    <w:p w14:paraId="62F95837" w14:textId="77777777" w:rsidR="002B705C" w:rsidRPr="00305062" w:rsidRDefault="002B705C" w:rsidP="00E30BB1">
      <w:pPr>
        <w:pStyle w:val="Odsekzoznamu"/>
        <w:numPr>
          <w:ilvl w:val="0"/>
          <w:numId w:val="4"/>
        </w:numPr>
        <w:spacing w:line="276" w:lineRule="auto"/>
        <w:jc w:val="both"/>
        <w:rPr>
          <w:b/>
        </w:rPr>
      </w:pPr>
      <w:r>
        <w:rPr>
          <w:b/>
        </w:rPr>
        <w:t>Z</w:t>
      </w:r>
      <w:r w:rsidRPr="00305062">
        <w:rPr>
          <w:b/>
        </w:rPr>
        <w:t>jazdové lyžovanie patrí k najzraniteľnejším turistickým aktivitám</w:t>
      </w:r>
      <w:r>
        <w:t xml:space="preserve"> v súvislosti zo zmenu klímy, od roku 1961 sa priemerná teplota vzduchu v zime (december - február) v oblasti NP Slovenského raja zvýšila o 1,8 °C s výraznejšou medziročnou variabilitou (zimy s málo snehom alebo bez snehu striedajúce sa so zimami s veľkým množstvom snehu). Do budúcna sa ráta s </w:t>
      </w:r>
      <w:r w:rsidRPr="000C45AE">
        <w:rPr>
          <w:b/>
        </w:rPr>
        <w:t>výraznými zmenami snehovej prikrývky</w:t>
      </w:r>
      <w:r>
        <w:t xml:space="preserve"> (nestabilitou, ubúdaním snehu a nárastom dažďového snehu a rýchleho topenia pri anticyklonálnom počasí alebo na začiatku a na konci zimy), najmä do nadmorskej výšky </w:t>
      </w:r>
      <w:r w:rsidRPr="0023318C">
        <w:rPr>
          <w:b/>
        </w:rPr>
        <w:t>do</w:t>
      </w:r>
      <w:r>
        <w:rPr>
          <w:b/>
        </w:rPr>
        <w:t xml:space="preserve"> 800 -</w:t>
      </w:r>
      <w:r w:rsidRPr="0023318C">
        <w:rPr>
          <w:b/>
        </w:rPr>
        <w:t xml:space="preserve"> 1000m</w:t>
      </w:r>
      <w:r>
        <w:t xml:space="preserve"> </w:t>
      </w:r>
      <w:r w:rsidRPr="00A2221A">
        <w:rPr>
          <w:b/>
        </w:rPr>
        <w:t>n. m.</w:t>
      </w:r>
      <w:r>
        <w:t xml:space="preserve"> S ďalším postupným zvyšovaním teploty vzduchu sa bude posúvať hranica stabilnej prirodzenej snehovej pokrývky smerom nahor. Podľa štúdie OECD (OECD 2007) by ďalší prírastok v priemernej teplote vzduchu (+1°C, +2°C a +4°C)  v alpskom prostredí znamenal posun hranice spoľahlivej prirodzenej snehovej pokrývky o 150m, 300m a 600m (v závislosti od lokálnych charakteristík mikroklímy a orientácie a sklonu svahov). V našich geografických podmienkach sa problematike venuje niekoľko autorov, napr. odborná štúdia (Demiroglu, Kučerová a Ozcelebi 2015) prináša zistenia, že pokles hĺbky snehovej pokrývky o 1% znižuje dopyt o lyžovanie o 0,12% a nárast priemernej teploty vzduchu o 1°C by znamenal 6%-nú stratu z predaja skipasov. Výskum ďalej prináša zistenia, že očakávaný nárast priemernej teploty v 21. storočí by mohol v prostredí slovenského zimného strediska priniesť ďalšie znižovanie predaja o 6,6 - 19,2%. Kapacita zimného rezortu na uskutočnenie najkrajnejšieho adaptačného riešenia - výrobu umelého snehu – je taktiež oslabovaná poklesom počtu dní (z 33/45 dní na 10-26/14-34 dní v závislosti od klimatického scenára), kedy je pomocou dnešnej dostupnej technológie možné vyrábať umelý sneh (do teploty vzduchu cca. 0-2°C). </w:t>
      </w:r>
    </w:p>
    <w:p w14:paraId="12BA2733" w14:textId="11ACB270" w:rsidR="002B705C" w:rsidRDefault="002B705C" w:rsidP="00E30BB1">
      <w:pPr>
        <w:pStyle w:val="Odsekzoznamu"/>
        <w:numPr>
          <w:ilvl w:val="0"/>
          <w:numId w:val="4"/>
        </w:numPr>
        <w:jc w:val="both"/>
      </w:pPr>
      <w:r>
        <w:t>B</w:t>
      </w:r>
      <w:r w:rsidRPr="00AA26A1">
        <w:t xml:space="preserve">eh na lyžiach </w:t>
      </w:r>
      <w:r w:rsidR="008F69D7">
        <w:t xml:space="preserve">(prípadne skialpinizmus) </w:t>
      </w:r>
      <w:r>
        <w:t xml:space="preserve">taktiež čelí </w:t>
      </w:r>
      <w:r w:rsidRPr="00AA26A1">
        <w:t xml:space="preserve">riziku </w:t>
      </w:r>
      <w:r>
        <w:t>nízkej</w:t>
      </w:r>
      <w:r w:rsidRPr="00AA26A1">
        <w:t xml:space="preserve"> alebo žiadn</w:t>
      </w:r>
      <w:r>
        <w:t>ej snehovej pokrývky</w:t>
      </w:r>
      <w:r w:rsidRPr="00AA26A1">
        <w:t xml:space="preserve"> v jednotlivých rokoch</w:t>
      </w:r>
      <w:r>
        <w:t xml:space="preserve">. </w:t>
      </w:r>
      <w:r w:rsidRPr="00AA26A1">
        <w:t>Hoci snehová pokrývka</w:t>
      </w:r>
      <w:r>
        <w:t xml:space="preserve"> na trasách</w:t>
      </w:r>
      <w:r w:rsidRPr="00AA26A1">
        <w:t xml:space="preserve"> je menej </w:t>
      </w:r>
      <w:r>
        <w:t xml:space="preserve">často </w:t>
      </w:r>
      <w:r w:rsidRPr="00AA26A1">
        <w:t>vystavená slnku</w:t>
      </w:r>
      <w:r>
        <w:t xml:space="preserve"> (trasy</w:t>
      </w:r>
      <w:r w:rsidRPr="00AA26A1">
        <w:t xml:space="preserve"> </w:t>
      </w:r>
      <w:r>
        <w:t>vedú</w:t>
      </w:r>
      <w:r w:rsidRPr="00AA26A1">
        <w:t xml:space="preserve"> cez lesy alebo </w:t>
      </w:r>
      <w:r>
        <w:t>pod</w:t>
      </w:r>
      <w:r w:rsidRPr="00AA26A1">
        <w:t xml:space="preserve"> svah</w:t>
      </w:r>
      <w:r>
        <w:t>mi), ale</w:t>
      </w:r>
      <w:r w:rsidRPr="00AA26A1">
        <w:t xml:space="preserve"> sú často </w:t>
      </w:r>
      <w:r>
        <w:t>v</w:t>
      </w:r>
      <w:r w:rsidRPr="00AA26A1">
        <w:t xml:space="preserve"> relatívne nízkych </w:t>
      </w:r>
      <w:r>
        <w:t xml:space="preserve">nadmorských </w:t>
      </w:r>
      <w:r w:rsidRPr="00AA26A1">
        <w:t>výškach</w:t>
      </w:r>
      <w:r>
        <w:t xml:space="preserve">, kde bude problém udržať súvislú a spoľahlivú prirodzenú snehovú prikrývku počas celej zimnej sezóny. </w:t>
      </w:r>
    </w:p>
    <w:p w14:paraId="0A7E949D" w14:textId="77777777" w:rsidR="002B705C" w:rsidRDefault="002B705C" w:rsidP="00E30BB1">
      <w:pPr>
        <w:pStyle w:val="Odsekzoznamu"/>
        <w:numPr>
          <w:ilvl w:val="0"/>
          <w:numId w:val="4"/>
        </w:numPr>
        <w:spacing w:line="276" w:lineRule="auto"/>
        <w:jc w:val="both"/>
      </w:pPr>
      <w:r>
        <w:t xml:space="preserve">V súvislosti so znižovaním počtu mrazivých dní a s rýchlym striedaním extrémnych teplôt vzduchu (rýchle striedanie plusových a mínusových teplôt) sú </w:t>
      </w:r>
      <w:r w:rsidRPr="0043689E">
        <w:rPr>
          <w:b/>
        </w:rPr>
        <w:t>ohrozené aj ďalšie športy a aktivity viazané na ľad</w:t>
      </w:r>
      <w:r>
        <w:t>. V prostredí NP Slovenský Raj bude tak negatívne ovplyvnené ľadolezenie, korčuľovanie na prírodných vodných plochách a aj obľúbená aktivita - pohyb po zamrznutom Hornáde (pešia turistika, bežecké lyžovanie a korčuľovanie). Posledné zamrznutie s možnosťou pohybu po Hornáde bol v roku 2016, pred tým v roku 2013 a pre tým až 10 rokov dozadu (2002).</w:t>
      </w:r>
    </w:p>
    <w:p w14:paraId="351810A5" w14:textId="77777777" w:rsidR="002B705C" w:rsidRDefault="002B705C" w:rsidP="00E30BB1">
      <w:pPr>
        <w:pStyle w:val="Odsekzoznamu"/>
        <w:numPr>
          <w:ilvl w:val="0"/>
          <w:numId w:val="4"/>
        </w:numPr>
        <w:spacing w:line="276" w:lineRule="auto"/>
        <w:jc w:val="both"/>
      </w:pPr>
      <w:r>
        <w:t xml:space="preserve">Zimná krajina bez snehovej pokrývky (prípadne ľadu) </w:t>
      </w:r>
      <w:r w:rsidRPr="008B4549">
        <w:rPr>
          <w:b/>
        </w:rPr>
        <w:t>znižuje</w:t>
      </w:r>
      <w:r>
        <w:rPr>
          <w:b/>
        </w:rPr>
        <w:t xml:space="preserve"> vizuálnu</w:t>
      </w:r>
      <w:r w:rsidRPr="008B4549">
        <w:rPr>
          <w:b/>
        </w:rPr>
        <w:t xml:space="preserve"> atraktivitu</w:t>
      </w:r>
      <w:r>
        <w:t xml:space="preserve"> zimných aktivít a pobytu v NP Slovenský raj (napr. aj zamrznuté vodopády). </w:t>
      </w:r>
    </w:p>
    <w:p w14:paraId="774359F6" w14:textId="77777777" w:rsidR="002B705C" w:rsidRDefault="002B705C" w:rsidP="00E30BB1">
      <w:pPr>
        <w:pStyle w:val="Odsekzoznamu"/>
        <w:numPr>
          <w:ilvl w:val="0"/>
          <w:numId w:val="4"/>
        </w:numPr>
        <w:spacing w:line="276" w:lineRule="auto"/>
        <w:jc w:val="both"/>
      </w:pPr>
      <w:r>
        <w:t xml:space="preserve">V súvislosti s rýchlym striedaním teplôt sa bude častejšie vyskytovať </w:t>
      </w:r>
      <w:r w:rsidRPr="0043689E">
        <w:rPr>
          <w:b/>
        </w:rPr>
        <w:t>zimné a</w:t>
      </w:r>
      <w:r>
        <w:t xml:space="preserve"> </w:t>
      </w:r>
      <w:r w:rsidRPr="0043689E">
        <w:rPr>
          <w:b/>
        </w:rPr>
        <w:t>jarné záplavy z náhleho topenia snehu</w:t>
      </w:r>
      <w:r>
        <w:t>, a to najmä v roklinách a kaňonoch.</w:t>
      </w:r>
    </w:p>
    <w:p w14:paraId="6DDF3244" w14:textId="67B9F9BE" w:rsidR="002B705C" w:rsidRDefault="002B705C" w:rsidP="002B705C">
      <w:pPr>
        <w:pStyle w:val="Odsekzoznamu"/>
        <w:spacing w:line="276" w:lineRule="auto"/>
        <w:jc w:val="both"/>
      </w:pPr>
    </w:p>
    <w:p w14:paraId="64AED2F3" w14:textId="21DFA7D2" w:rsidR="00325108" w:rsidRDefault="00325108" w:rsidP="002B705C">
      <w:pPr>
        <w:pStyle w:val="Odsekzoznamu"/>
        <w:spacing w:line="276" w:lineRule="auto"/>
        <w:jc w:val="both"/>
      </w:pPr>
    </w:p>
    <w:p w14:paraId="1C35DA37" w14:textId="0A7259F3" w:rsidR="00325108" w:rsidRDefault="00325108" w:rsidP="002B705C">
      <w:pPr>
        <w:pStyle w:val="Odsekzoznamu"/>
        <w:spacing w:line="276" w:lineRule="auto"/>
        <w:jc w:val="both"/>
      </w:pPr>
    </w:p>
    <w:p w14:paraId="5FF18063" w14:textId="77777777" w:rsidR="00325108" w:rsidRDefault="00325108" w:rsidP="002B705C">
      <w:pPr>
        <w:pStyle w:val="Odsekzoznamu"/>
        <w:spacing w:line="276" w:lineRule="auto"/>
        <w:jc w:val="both"/>
      </w:pPr>
    </w:p>
    <w:p w14:paraId="1C8BE7BD" w14:textId="3E45F6C2" w:rsidR="00325108" w:rsidRDefault="00325108" w:rsidP="002B705C">
      <w:pPr>
        <w:pStyle w:val="Odsekzoznamu"/>
        <w:spacing w:line="276" w:lineRule="auto"/>
        <w:jc w:val="both"/>
      </w:pPr>
    </w:p>
    <w:p w14:paraId="1D1833B1" w14:textId="4483BE27" w:rsidR="00325108" w:rsidRDefault="00325108" w:rsidP="002B705C">
      <w:pPr>
        <w:pStyle w:val="Odsekzoznamu"/>
        <w:spacing w:line="276" w:lineRule="auto"/>
        <w:jc w:val="both"/>
      </w:pPr>
    </w:p>
    <w:p w14:paraId="0D22C87F" w14:textId="77777777" w:rsidR="00325108" w:rsidRPr="004E0183" w:rsidRDefault="00325108" w:rsidP="002B705C">
      <w:pPr>
        <w:pStyle w:val="Odsekzoznamu"/>
        <w:spacing w:line="276" w:lineRule="auto"/>
        <w:jc w:val="both"/>
      </w:pPr>
    </w:p>
    <w:tbl>
      <w:tblPr>
        <w:tblW w:w="9767" w:type="dxa"/>
        <w:tblInd w:w="-5" w:type="dxa"/>
        <w:tblCellMar>
          <w:left w:w="70" w:type="dxa"/>
          <w:right w:w="70" w:type="dxa"/>
        </w:tblCellMar>
        <w:tblLook w:val="04A0" w:firstRow="1" w:lastRow="0" w:firstColumn="1" w:lastColumn="0" w:noHBand="0" w:noVBand="1"/>
      </w:tblPr>
      <w:tblGrid>
        <w:gridCol w:w="1560"/>
        <w:gridCol w:w="640"/>
        <w:gridCol w:w="1911"/>
        <w:gridCol w:w="1701"/>
        <w:gridCol w:w="567"/>
        <w:gridCol w:w="1086"/>
        <w:gridCol w:w="1143"/>
        <w:gridCol w:w="1253"/>
      </w:tblGrid>
      <w:tr w:rsidR="002B705C" w:rsidRPr="00CB2EEC" w14:paraId="01879823" w14:textId="77777777" w:rsidTr="002670CE">
        <w:trPr>
          <w:trHeight w:val="300"/>
        </w:trPr>
        <w:tc>
          <w:tcPr>
            <w:tcW w:w="15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6985D4E" w14:textId="77777777" w:rsidR="002B705C" w:rsidRPr="00CB2EEC" w:rsidRDefault="002B705C" w:rsidP="002670CE">
            <w:pPr>
              <w:spacing w:after="0" w:line="240" w:lineRule="auto"/>
              <w:jc w:val="center"/>
              <w:rPr>
                <w:rFonts w:ascii="Calibri" w:eastAsia="Times New Roman" w:hAnsi="Calibri" w:cs="Calibri"/>
                <w:b/>
                <w:bCs/>
                <w:color w:val="000000"/>
                <w:sz w:val="20"/>
                <w:szCs w:val="20"/>
                <w:lang w:eastAsia="sk-SK"/>
              </w:rPr>
            </w:pPr>
            <w:r w:rsidRPr="00CB2EEC">
              <w:rPr>
                <w:rFonts w:ascii="Calibri" w:eastAsia="Times New Roman" w:hAnsi="Calibri" w:cs="Calibri"/>
                <w:b/>
                <w:bCs/>
                <w:color w:val="000000"/>
                <w:sz w:val="20"/>
                <w:szCs w:val="20"/>
                <w:lang w:eastAsia="sk-SK"/>
              </w:rPr>
              <w:t>Typ p</w:t>
            </w:r>
            <w:r>
              <w:rPr>
                <w:rFonts w:ascii="Calibri" w:eastAsia="Times New Roman" w:hAnsi="Calibri" w:cs="Calibri"/>
                <w:b/>
                <w:bCs/>
                <w:color w:val="000000"/>
                <w:sz w:val="20"/>
                <w:szCs w:val="20"/>
                <w:lang w:eastAsia="sk-SK"/>
              </w:rPr>
              <w:t>roduktu</w:t>
            </w:r>
            <w:r w:rsidRPr="00CB2EEC">
              <w:rPr>
                <w:rFonts w:ascii="Calibri" w:eastAsia="Times New Roman" w:hAnsi="Calibri" w:cs="Calibri"/>
                <w:b/>
                <w:bCs/>
                <w:color w:val="000000"/>
                <w:sz w:val="20"/>
                <w:szCs w:val="20"/>
                <w:lang w:eastAsia="sk-SK"/>
              </w:rPr>
              <w:t xml:space="preserve"> CR (zimná sezóna)</w:t>
            </w:r>
          </w:p>
        </w:tc>
        <w:tc>
          <w:tcPr>
            <w:tcW w:w="64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E4043E4" w14:textId="77777777" w:rsidR="002B705C" w:rsidRPr="00CB2EEC" w:rsidRDefault="002B705C" w:rsidP="002670CE">
            <w:pPr>
              <w:spacing w:after="0" w:line="240" w:lineRule="auto"/>
              <w:jc w:val="center"/>
              <w:rPr>
                <w:rFonts w:ascii="Calibri" w:eastAsia="Times New Roman" w:hAnsi="Calibri" w:cs="Calibri"/>
                <w:b/>
                <w:bCs/>
                <w:color w:val="000000"/>
                <w:sz w:val="20"/>
                <w:szCs w:val="20"/>
                <w:lang w:eastAsia="sk-SK"/>
              </w:rPr>
            </w:pPr>
            <w:r w:rsidRPr="00CB2EEC">
              <w:rPr>
                <w:rFonts w:ascii="Calibri" w:eastAsia="Times New Roman" w:hAnsi="Calibri" w:cs="Calibri"/>
                <w:b/>
                <w:bCs/>
                <w:color w:val="000000"/>
                <w:sz w:val="20"/>
                <w:szCs w:val="20"/>
                <w:lang w:eastAsia="sk-SK"/>
              </w:rPr>
              <w:t>č.</w:t>
            </w:r>
          </w:p>
        </w:tc>
        <w:tc>
          <w:tcPr>
            <w:tcW w:w="1911" w:type="dxa"/>
            <w:vMerge w:val="restart"/>
            <w:tcBorders>
              <w:top w:val="single" w:sz="4" w:space="0" w:color="auto"/>
              <w:left w:val="single" w:sz="4" w:space="0" w:color="auto"/>
              <w:bottom w:val="single" w:sz="4" w:space="0" w:color="auto"/>
              <w:right w:val="nil"/>
            </w:tcBorders>
            <w:shd w:val="clear" w:color="000000" w:fill="D9D9D9"/>
            <w:noWrap/>
            <w:vAlign w:val="center"/>
            <w:hideMark/>
          </w:tcPr>
          <w:p w14:paraId="42795167" w14:textId="77777777" w:rsidR="002B705C" w:rsidRPr="00CB2EEC" w:rsidRDefault="002B705C" w:rsidP="002670CE">
            <w:pPr>
              <w:spacing w:after="0" w:line="240" w:lineRule="auto"/>
              <w:jc w:val="center"/>
              <w:rPr>
                <w:rFonts w:ascii="Calibri" w:eastAsia="Times New Roman" w:hAnsi="Calibri" w:cs="Calibri"/>
                <w:b/>
                <w:bCs/>
                <w:color w:val="000000"/>
                <w:sz w:val="20"/>
                <w:szCs w:val="20"/>
                <w:lang w:eastAsia="sk-SK"/>
              </w:rPr>
            </w:pPr>
            <w:r w:rsidRPr="00CB2EEC">
              <w:rPr>
                <w:rFonts w:ascii="Calibri" w:eastAsia="Times New Roman" w:hAnsi="Calibri" w:cs="Calibri"/>
                <w:b/>
                <w:bCs/>
                <w:color w:val="000000"/>
                <w:sz w:val="20"/>
                <w:szCs w:val="20"/>
                <w:lang w:eastAsia="sk-SK"/>
              </w:rPr>
              <w:t>Pod</w:t>
            </w:r>
            <w:r>
              <w:rPr>
                <w:rFonts w:ascii="Calibri" w:eastAsia="Times New Roman" w:hAnsi="Calibri" w:cs="Calibri"/>
                <w:b/>
                <w:bCs/>
                <w:color w:val="000000"/>
                <w:sz w:val="20"/>
                <w:szCs w:val="20"/>
                <w:lang w:eastAsia="sk-SK"/>
              </w:rPr>
              <w:t>produkt</w:t>
            </w:r>
            <w:r w:rsidRPr="00CB2EEC">
              <w:rPr>
                <w:rFonts w:ascii="Calibri" w:eastAsia="Times New Roman" w:hAnsi="Calibri" w:cs="Calibri"/>
                <w:b/>
                <w:bCs/>
                <w:color w:val="000000"/>
                <w:sz w:val="20"/>
                <w:szCs w:val="20"/>
                <w:lang w:eastAsia="sk-SK"/>
              </w:rPr>
              <w:t xml:space="preserve"> CR</w:t>
            </w:r>
          </w:p>
        </w:tc>
        <w:tc>
          <w:tcPr>
            <w:tcW w:w="2268" w:type="dxa"/>
            <w:gridSpan w:val="2"/>
            <w:vMerge w:val="restart"/>
            <w:tcBorders>
              <w:top w:val="single" w:sz="8" w:space="0" w:color="auto"/>
              <w:left w:val="single" w:sz="8" w:space="0" w:color="auto"/>
              <w:bottom w:val="single" w:sz="4" w:space="0" w:color="auto"/>
              <w:right w:val="single" w:sz="8" w:space="0" w:color="000000"/>
            </w:tcBorders>
            <w:shd w:val="clear" w:color="000000" w:fill="D9D9D9"/>
            <w:vAlign w:val="center"/>
            <w:hideMark/>
          </w:tcPr>
          <w:p w14:paraId="4334B283" w14:textId="77777777" w:rsidR="002B705C" w:rsidRPr="00CB2EEC" w:rsidRDefault="002B705C" w:rsidP="002670CE">
            <w:pPr>
              <w:spacing w:after="0" w:line="240" w:lineRule="auto"/>
              <w:jc w:val="center"/>
              <w:rPr>
                <w:rFonts w:ascii="Calibri" w:eastAsia="Times New Roman" w:hAnsi="Calibri" w:cs="Calibri"/>
                <w:b/>
                <w:bCs/>
                <w:color w:val="000000"/>
                <w:sz w:val="20"/>
                <w:szCs w:val="20"/>
                <w:lang w:eastAsia="sk-SK"/>
              </w:rPr>
            </w:pPr>
            <w:r w:rsidRPr="004D130B">
              <w:rPr>
                <w:rFonts w:ascii="Calibri" w:eastAsia="Times New Roman" w:hAnsi="Calibri" w:cs="Calibri"/>
                <w:bCs/>
                <w:color w:val="000000"/>
                <w:sz w:val="20"/>
                <w:szCs w:val="20"/>
                <w:lang w:eastAsia="sk-SK"/>
              </w:rPr>
              <w:t>Dopady ZK (kód) –</w:t>
            </w:r>
            <w:r w:rsidRPr="00CB2EEC">
              <w:rPr>
                <w:rFonts w:ascii="Calibri" w:eastAsia="Times New Roman" w:hAnsi="Calibri" w:cs="Calibri"/>
                <w:b/>
                <w:bCs/>
                <w:color w:val="000000"/>
                <w:sz w:val="20"/>
                <w:szCs w:val="20"/>
                <w:lang w:eastAsia="sk-SK"/>
              </w:rPr>
              <w:t xml:space="preserve"> Súčasná</w:t>
            </w:r>
            <w:r>
              <w:rPr>
                <w:rFonts w:ascii="Calibri" w:eastAsia="Times New Roman" w:hAnsi="Calibri" w:cs="Calibri"/>
                <w:b/>
                <w:bCs/>
                <w:color w:val="000000"/>
                <w:sz w:val="20"/>
                <w:szCs w:val="20"/>
                <w:lang w:eastAsia="sk-SK"/>
              </w:rPr>
              <w:t xml:space="preserve"> klimatická</w:t>
            </w:r>
            <w:r w:rsidRPr="00CB2EEC">
              <w:rPr>
                <w:rFonts w:ascii="Calibri" w:eastAsia="Times New Roman" w:hAnsi="Calibri" w:cs="Calibri"/>
                <w:b/>
                <w:bCs/>
                <w:color w:val="000000"/>
                <w:sz w:val="20"/>
                <w:szCs w:val="20"/>
                <w:lang w:eastAsia="sk-SK"/>
              </w:rPr>
              <w:t xml:space="preserve"> zraniteľnosť </w:t>
            </w:r>
            <w:r>
              <w:rPr>
                <w:rFonts w:ascii="Calibri" w:eastAsia="Times New Roman" w:hAnsi="Calibri" w:cs="Calibri"/>
                <w:b/>
                <w:bCs/>
                <w:color w:val="000000"/>
                <w:sz w:val="20"/>
                <w:szCs w:val="20"/>
                <w:lang w:eastAsia="sk-SK"/>
              </w:rPr>
              <w:t>produktu CR</w:t>
            </w:r>
            <w:r w:rsidRPr="00CB2EEC">
              <w:rPr>
                <w:rFonts w:ascii="Calibri" w:eastAsia="Times New Roman" w:hAnsi="Calibri" w:cs="Calibri"/>
                <w:b/>
                <w:bCs/>
                <w:color w:val="000000"/>
                <w:sz w:val="20"/>
                <w:szCs w:val="20"/>
                <w:lang w:eastAsia="sk-SK"/>
              </w:rPr>
              <w:t xml:space="preserve"> (a)</w:t>
            </w:r>
          </w:p>
        </w:tc>
        <w:tc>
          <w:tcPr>
            <w:tcW w:w="992" w:type="dxa"/>
            <w:vMerge w:val="restart"/>
            <w:tcBorders>
              <w:top w:val="single" w:sz="4" w:space="0" w:color="auto"/>
              <w:left w:val="nil"/>
              <w:bottom w:val="single" w:sz="4" w:space="0" w:color="auto"/>
              <w:right w:val="single" w:sz="4" w:space="0" w:color="auto"/>
            </w:tcBorders>
            <w:shd w:val="clear" w:color="000000" w:fill="D9D9D9"/>
            <w:vAlign w:val="center"/>
            <w:hideMark/>
          </w:tcPr>
          <w:p w14:paraId="57B11A1D" w14:textId="77777777" w:rsidR="002B705C" w:rsidRPr="00CB2EEC" w:rsidRDefault="002B705C" w:rsidP="002670CE">
            <w:pPr>
              <w:spacing w:after="0" w:line="240" w:lineRule="auto"/>
              <w:jc w:val="center"/>
              <w:rPr>
                <w:rFonts w:ascii="Calibri" w:eastAsia="Times New Roman" w:hAnsi="Calibri" w:cs="Calibri"/>
                <w:b/>
                <w:bCs/>
                <w:color w:val="000000"/>
                <w:sz w:val="20"/>
                <w:szCs w:val="20"/>
                <w:lang w:eastAsia="sk-SK"/>
              </w:rPr>
            </w:pPr>
            <w:r w:rsidRPr="00CB2EEC">
              <w:rPr>
                <w:rFonts w:ascii="Calibri" w:eastAsia="Times New Roman" w:hAnsi="Calibri" w:cs="Calibri"/>
                <w:b/>
                <w:bCs/>
                <w:color w:val="000000"/>
                <w:sz w:val="20"/>
                <w:szCs w:val="20"/>
                <w:lang w:eastAsia="sk-SK"/>
              </w:rPr>
              <w:t xml:space="preserve"> Dopyt po turistick</w:t>
            </w:r>
            <w:r>
              <w:rPr>
                <w:rFonts w:ascii="Calibri" w:eastAsia="Times New Roman" w:hAnsi="Calibri" w:cs="Calibri"/>
                <w:b/>
                <w:bCs/>
                <w:color w:val="000000"/>
                <w:sz w:val="20"/>
                <w:szCs w:val="20"/>
                <w:lang w:eastAsia="sk-SK"/>
              </w:rPr>
              <w:t>om</w:t>
            </w:r>
            <w:r w:rsidRPr="00CB2EEC">
              <w:rPr>
                <w:rFonts w:ascii="Calibri" w:eastAsia="Times New Roman" w:hAnsi="Calibri" w:cs="Calibri"/>
                <w:b/>
                <w:bCs/>
                <w:color w:val="000000"/>
                <w:sz w:val="20"/>
                <w:szCs w:val="20"/>
                <w:lang w:eastAsia="sk-SK"/>
              </w:rPr>
              <w:t xml:space="preserve"> p</w:t>
            </w:r>
            <w:r>
              <w:rPr>
                <w:rFonts w:ascii="Calibri" w:eastAsia="Times New Roman" w:hAnsi="Calibri" w:cs="Calibri"/>
                <w:b/>
                <w:bCs/>
                <w:color w:val="000000"/>
                <w:sz w:val="20"/>
                <w:szCs w:val="20"/>
                <w:lang w:eastAsia="sk-SK"/>
              </w:rPr>
              <w:t>rodukte</w:t>
            </w:r>
            <w:r w:rsidRPr="00CB2EEC">
              <w:rPr>
                <w:rFonts w:ascii="Calibri" w:eastAsia="Times New Roman" w:hAnsi="Calibri" w:cs="Calibri"/>
                <w:b/>
                <w:bCs/>
                <w:color w:val="000000"/>
                <w:sz w:val="20"/>
                <w:szCs w:val="20"/>
                <w:lang w:eastAsia="sk-SK"/>
              </w:rPr>
              <w:t xml:space="preserve"> (b)</w:t>
            </w:r>
          </w:p>
        </w:tc>
        <w:tc>
          <w:tcPr>
            <w:tcW w:w="1143"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4043B229" w14:textId="77777777" w:rsidR="002B705C" w:rsidRPr="00CB2EEC" w:rsidRDefault="002B705C" w:rsidP="002670CE">
            <w:pPr>
              <w:spacing w:after="0" w:line="240" w:lineRule="auto"/>
              <w:jc w:val="center"/>
              <w:rPr>
                <w:rFonts w:ascii="Calibri" w:eastAsia="Times New Roman" w:hAnsi="Calibri" w:cs="Calibri"/>
                <w:b/>
                <w:bCs/>
                <w:color w:val="000000"/>
                <w:sz w:val="20"/>
                <w:szCs w:val="20"/>
                <w:lang w:eastAsia="sk-SK"/>
              </w:rPr>
            </w:pPr>
            <w:r w:rsidRPr="00CB2EEC">
              <w:rPr>
                <w:rFonts w:ascii="Calibri" w:eastAsia="Times New Roman" w:hAnsi="Calibri" w:cs="Calibri"/>
                <w:b/>
                <w:bCs/>
                <w:color w:val="000000"/>
                <w:sz w:val="20"/>
                <w:szCs w:val="20"/>
                <w:lang w:eastAsia="sk-SK"/>
              </w:rPr>
              <w:t>Ekonomický prínos ponuky -</w:t>
            </w:r>
            <w:r w:rsidRPr="00CB2EEC">
              <w:rPr>
                <w:rFonts w:ascii="Calibri" w:eastAsia="Times New Roman" w:hAnsi="Calibri" w:cs="Calibri"/>
                <w:b/>
                <w:bCs/>
                <w:color w:val="000000"/>
                <w:sz w:val="20"/>
                <w:szCs w:val="20"/>
                <w:lang w:eastAsia="sk-SK"/>
              </w:rPr>
              <w:br/>
              <w:t xml:space="preserve">priamy </w:t>
            </w:r>
            <w:r w:rsidRPr="00CB2EEC">
              <w:rPr>
                <w:rFonts w:ascii="Calibri" w:eastAsia="Times New Roman" w:hAnsi="Calibri" w:cs="Calibri"/>
                <w:color w:val="000000"/>
                <w:sz w:val="20"/>
                <w:szCs w:val="20"/>
                <w:lang w:eastAsia="sk-SK"/>
              </w:rPr>
              <w:t>(pracovné miesta, výber vstupného). (c )</w:t>
            </w:r>
          </w:p>
        </w:tc>
        <w:tc>
          <w:tcPr>
            <w:tcW w:w="1253" w:type="dxa"/>
            <w:vMerge w:val="restart"/>
            <w:tcBorders>
              <w:top w:val="single" w:sz="4" w:space="0" w:color="auto"/>
              <w:left w:val="nil"/>
              <w:bottom w:val="single" w:sz="4" w:space="0" w:color="auto"/>
              <w:right w:val="single" w:sz="4" w:space="0" w:color="auto"/>
            </w:tcBorders>
            <w:shd w:val="clear" w:color="000000" w:fill="D9D9D9"/>
            <w:vAlign w:val="center"/>
            <w:hideMark/>
          </w:tcPr>
          <w:p w14:paraId="0016B0C1" w14:textId="77777777" w:rsidR="002B705C" w:rsidRPr="00CB2EEC" w:rsidRDefault="002B705C" w:rsidP="002670CE">
            <w:pPr>
              <w:spacing w:after="0" w:line="240" w:lineRule="auto"/>
              <w:jc w:val="center"/>
              <w:rPr>
                <w:rFonts w:ascii="Calibri" w:eastAsia="Times New Roman" w:hAnsi="Calibri" w:cs="Calibri"/>
                <w:b/>
                <w:bCs/>
                <w:color w:val="000000"/>
                <w:sz w:val="20"/>
                <w:szCs w:val="20"/>
                <w:lang w:eastAsia="sk-SK"/>
              </w:rPr>
            </w:pPr>
            <w:r w:rsidRPr="00CB2EEC">
              <w:rPr>
                <w:rFonts w:ascii="Calibri" w:eastAsia="Times New Roman" w:hAnsi="Calibri" w:cs="Calibri"/>
                <w:b/>
                <w:bCs/>
                <w:color w:val="000000"/>
                <w:sz w:val="20"/>
                <w:szCs w:val="20"/>
                <w:lang w:eastAsia="sk-SK"/>
              </w:rPr>
              <w:t>Významnosť turistick</w:t>
            </w:r>
            <w:r>
              <w:rPr>
                <w:rFonts w:ascii="Calibri" w:eastAsia="Times New Roman" w:hAnsi="Calibri" w:cs="Calibri"/>
                <w:b/>
                <w:bCs/>
                <w:color w:val="000000"/>
                <w:sz w:val="20"/>
                <w:szCs w:val="20"/>
                <w:lang w:eastAsia="sk-SK"/>
              </w:rPr>
              <w:t>ého</w:t>
            </w:r>
            <w:r w:rsidRPr="00CB2EEC">
              <w:rPr>
                <w:rFonts w:ascii="Calibri" w:eastAsia="Times New Roman" w:hAnsi="Calibri" w:cs="Calibri"/>
                <w:b/>
                <w:bCs/>
                <w:color w:val="000000"/>
                <w:sz w:val="20"/>
                <w:szCs w:val="20"/>
                <w:lang w:eastAsia="sk-SK"/>
              </w:rPr>
              <w:t xml:space="preserve"> p</w:t>
            </w:r>
            <w:r>
              <w:rPr>
                <w:rFonts w:ascii="Calibri" w:eastAsia="Times New Roman" w:hAnsi="Calibri" w:cs="Calibri"/>
                <w:b/>
                <w:bCs/>
                <w:color w:val="000000"/>
                <w:sz w:val="20"/>
                <w:szCs w:val="20"/>
                <w:lang w:eastAsia="sk-SK"/>
              </w:rPr>
              <w:t>roduktu</w:t>
            </w:r>
            <w:r w:rsidRPr="00CB2EEC">
              <w:rPr>
                <w:rFonts w:ascii="Calibri" w:eastAsia="Times New Roman" w:hAnsi="Calibri" w:cs="Calibri"/>
                <w:b/>
                <w:bCs/>
                <w:color w:val="000000"/>
                <w:sz w:val="20"/>
                <w:szCs w:val="20"/>
                <w:lang w:eastAsia="sk-SK"/>
              </w:rPr>
              <w:t xml:space="preserve"> {(b)+(c)}/2</w:t>
            </w:r>
            <w:r>
              <w:rPr>
                <w:rFonts w:ascii="Calibri" w:eastAsia="Times New Roman" w:hAnsi="Calibri" w:cs="Calibri"/>
                <w:b/>
                <w:bCs/>
                <w:color w:val="000000"/>
                <w:sz w:val="20"/>
                <w:szCs w:val="20"/>
                <w:lang w:eastAsia="sk-SK"/>
              </w:rPr>
              <w:t xml:space="preserve"> (d)</w:t>
            </w:r>
            <w:r w:rsidRPr="00CB2EEC">
              <w:rPr>
                <w:rFonts w:ascii="Calibri" w:eastAsia="Times New Roman" w:hAnsi="Calibri" w:cs="Calibri"/>
                <w:b/>
                <w:bCs/>
                <w:color w:val="000000"/>
                <w:sz w:val="20"/>
                <w:szCs w:val="20"/>
                <w:lang w:eastAsia="sk-SK"/>
              </w:rPr>
              <w:t xml:space="preserve"> </w:t>
            </w:r>
          </w:p>
        </w:tc>
      </w:tr>
      <w:tr w:rsidR="002B705C" w:rsidRPr="00CB2EEC" w14:paraId="5BA1EDF3" w14:textId="77777777" w:rsidTr="002670CE">
        <w:trPr>
          <w:trHeight w:val="136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9E416C9" w14:textId="77777777" w:rsidR="002B705C" w:rsidRPr="00CB2EEC" w:rsidRDefault="002B705C" w:rsidP="002670CE">
            <w:pPr>
              <w:spacing w:after="0" w:line="240" w:lineRule="auto"/>
              <w:rPr>
                <w:rFonts w:ascii="Calibri" w:eastAsia="Times New Roman" w:hAnsi="Calibri" w:cs="Calibri"/>
                <w:b/>
                <w:bCs/>
                <w:color w:val="000000"/>
                <w:sz w:val="20"/>
                <w:szCs w:val="20"/>
                <w:lang w:eastAsia="sk-SK"/>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14:paraId="4E4AFA9F" w14:textId="77777777" w:rsidR="002B705C" w:rsidRPr="00CB2EEC" w:rsidRDefault="002B705C" w:rsidP="002670CE">
            <w:pPr>
              <w:spacing w:after="0" w:line="240" w:lineRule="auto"/>
              <w:rPr>
                <w:rFonts w:ascii="Calibri" w:eastAsia="Times New Roman" w:hAnsi="Calibri" w:cs="Calibri"/>
                <w:b/>
                <w:bCs/>
                <w:color w:val="000000"/>
                <w:sz w:val="20"/>
                <w:szCs w:val="20"/>
                <w:lang w:eastAsia="sk-SK"/>
              </w:rPr>
            </w:pPr>
          </w:p>
        </w:tc>
        <w:tc>
          <w:tcPr>
            <w:tcW w:w="1911" w:type="dxa"/>
            <w:vMerge/>
            <w:tcBorders>
              <w:top w:val="single" w:sz="4" w:space="0" w:color="auto"/>
              <w:left w:val="single" w:sz="4" w:space="0" w:color="auto"/>
              <w:bottom w:val="single" w:sz="4" w:space="0" w:color="auto"/>
              <w:right w:val="nil"/>
            </w:tcBorders>
            <w:vAlign w:val="center"/>
            <w:hideMark/>
          </w:tcPr>
          <w:p w14:paraId="2D7D8D9D" w14:textId="77777777" w:rsidR="002B705C" w:rsidRPr="00CB2EEC" w:rsidRDefault="002B705C" w:rsidP="002670CE">
            <w:pPr>
              <w:spacing w:after="0" w:line="240" w:lineRule="auto"/>
              <w:rPr>
                <w:rFonts w:ascii="Calibri" w:eastAsia="Times New Roman" w:hAnsi="Calibri" w:cs="Calibri"/>
                <w:b/>
                <w:bCs/>
                <w:color w:val="000000"/>
                <w:sz w:val="20"/>
                <w:szCs w:val="20"/>
                <w:lang w:eastAsia="sk-SK"/>
              </w:rPr>
            </w:pPr>
          </w:p>
        </w:tc>
        <w:tc>
          <w:tcPr>
            <w:tcW w:w="2268" w:type="dxa"/>
            <w:gridSpan w:val="2"/>
            <w:vMerge/>
            <w:tcBorders>
              <w:top w:val="single" w:sz="8" w:space="0" w:color="auto"/>
              <w:left w:val="single" w:sz="8" w:space="0" w:color="auto"/>
              <w:bottom w:val="single" w:sz="4" w:space="0" w:color="auto"/>
              <w:right w:val="single" w:sz="8" w:space="0" w:color="000000"/>
            </w:tcBorders>
            <w:vAlign w:val="center"/>
            <w:hideMark/>
          </w:tcPr>
          <w:p w14:paraId="44AE906F" w14:textId="77777777" w:rsidR="002B705C" w:rsidRPr="00CB2EEC" w:rsidRDefault="002B705C" w:rsidP="002670CE">
            <w:pPr>
              <w:spacing w:after="0" w:line="240" w:lineRule="auto"/>
              <w:rPr>
                <w:rFonts w:ascii="Calibri" w:eastAsia="Times New Roman" w:hAnsi="Calibri" w:cs="Calibri"/>
                <w:b/>
                <w:bCs/>
                <w:color w:val="000000"/>
                <w:sz w:val="20"/>
                <w:szCs w:val="20"/>
                <w:lang w:eastAsia="sk-SK"/>
              </w:rPr>
            </w:pPr>
          </w:p>
        </w:tc>
        <w:tc>
          <w:tcPr>
            <w:tcW w:w="992" w:type="dxa"/>
            <w:vMerge/>
            <w:tcBorders>
              <w:top w:val="single" w:sz="4" w:space="0" w:color="auto"/>
              <w:left w:val="nil"/>
              <w:bottom w:val="single" w:sz="4" w:space="0" w:color="auto"/>
              <w:right w:val="single" w:sz="4" w:space="0" w:color="auto"/>
            </w:tcBorders>
            <w:vAlign w:val="center"/>
            <w:hideMark/>
          </w:tcPr>
          <w:p w14:paraId="77E7C857" w14:textId="77777777" w:rsidR="002B705C" w:rsidRPr="00CB2EEC" w:rsidRDefault="002B705C" w:rsidP="002670CE">
            <w:pPr>
              <w:spacing w:after="0" w:line="240" w:lineRule="auto"/>
              <w:rPr>
                <w:rFonts w:ascii="Calibri" w:eastAsia="Times New Roman" w:hAnsi="Calibri" w:cs="Calibri"/>
                <w:b/>
                <w:bCs/>
                <w:color w:val="000000"/>
                <w:sz w:val="20"/>
                <w:szCs w:val="20"/>
                <w:lang w:eastAsia="sk-SK"/>
              </w:rPr>
            </w:pPr>
          </w:p>
        </w:tc>
        <w:tc>
          <w:tcPr>
            <w:tcW w:w="1143" w:type="dxa"/>
            <w:vMerge/>
            <w:tcBorders>
              <w:top w:val="single" w:sz="4" w:space="0" w:color="auto"/>
              <w:left w:val="single" w:sz="4" w:space="0" w:color="auto"/>
              <w:bottom w:val="single" w:sz="4" w:space="0" w:color="000000"/>
              <w:right w:val="single" w:sz="4" w:space="0" w:color="auto"/>
            </w:tcBorders>
            <w:vAlign w:val="center"/>
            <w:hideMark/>
          </w:tcPr>
          <w:p w14:paraId="11FD9F87" w14:textId="77777777" w:rsidR="002B705C" w:rsidRPr="00CB2EEC" w:rsidRDefault="002B705C" w:rsidP="002670CE">
            <w:pPr>
              <w:spacing w:after="0" w:line="240" w:lineRule="auto"/>
              <w:rPr>
                <w:rFonts w:ascii="Calibri" w:eastAsia="Times New Roman" w:hAnsi="Calibri" w:cs="Calibri"/>
                <w:b/>
                <w:bCs/>
                <w:color w:val="000000"/>
                <w:sz w:val="20"/>
                <w:szCs w:val="20"/>
                <w:lang w:eastAsia="sk-SK"/>
              </w:rPr>
            </w:pPr>
          </w:p>
        </w:tc>
        <w:tc>
          <w:tcPr>
            <w:tcW w:w="1253" w:type="dxa"/>
            <w:vMerge/>
            <w:tcBorders>
              <w:top w:val="single" w:sz="4" w:space="0" w:color="auto"/>
              <w:left w:val="nil"/>
              <w:bottom w:val="single" w:sz="4" w:space="0" w:color="auto"/>
              <w:right w:val="single" w:sz="4" w:space="0" w:color="auto"/>
            </w:tcBorders>
            <w:vAlign w:val="center"/>
            <w:hideMark/>
          </w:tcPr>
          <w:p w14:paraId="49DDC380" w14:textId="77777777" w:rsidR="002B705C" w:rsidRPr="00CB2EEC" w:rsidRDefault="002B705C" w:rsidP="002670CE">
            <w:pPr>
              <w:spacing w:after="0" w:line="240" w:lineRule="auto"/>
              <w:rPr>
                <w:rFonts w:ascii="Calibri" w:eastAsia="Times New Roman" w:hAnsi="Calibri" w:cs="Calibri"/>
                <w:b/>
                <w:bCs/>
                <w:color w:val="000000"/>
                <w:sz w:val="20"/>
                <w:szCs w:val="20"/>
                <w:lang w:eastAsia="sk-SK"/>
              </w:rPr>
            </w:pPr>
          </w:p>
        </w:tc>
      </w:tr>
      <w:tr w:rsidR="002B705C" w:rsidRPr="00CB2EEC" w14:paraId="522DCADC" w14:textId="77777777" w:rsidTr="002670CE">
        <w:trPr>
          <w:trHeight w:val="525"/>
        </w:trPr>
        <w:tc>
          <w:tcPr>
            <w:tcW w:w="1560" w:type="dxa"/>
            <w:tcBorders>
              <w:top w:val="nil"/>
              <w:left w:val="single" w:sz="4" w:space="0" w:color="auto"/>
              <w:bottom w:val="single" w:sz="4" w:space="0" w:color="auto"/>
              <w:right w:val="single" w:sz="4" w:space="0" w:color="auto"/>
            </w:tcBorders>
            <w:shd w:val="clear" w:color="auto" w:fill="auto"/>
            <w:vAlign w:val="bottom"/>
            <w:hideMark/>
          </w:tcPr>
          <w:p w14:paraId="6E32650E" w14:textId="77777777" w:rsidR="002B705C" w:rsidRPr="00CB2EEC" w:rsidRDefault="002B705C" w:rsidP="002670CE">
            <w:pPr>
              <w:spacing w:after="0" w:line="240" w:lineRule="auto"/>
              <w:rPr>
                <w:rFonts w:ascii="Calibri" w:eastAsia="Times New Roman" w:hAnsi="Calibri" w:cs="Calibri"/>
                <w:b/>
                <w:bCs/>
                <w:color w:val="000000"/>
                <w:sz w:val="20"/>
                <w:szCs w:val="20"/>
                <w:lang w:eastAsia="sk-SK"/>
              </w:rPr>
            </w:pPr>
            <w:r w:rsidRPr="00CB2EEC">
              <w:rPr>
                <w:rFonts w:ascii="Calibri" w:eastAsia="Times New Roman" w:hAnsi="Calibri" w:cs="Calibri"/>
                <w:b/>
                <w:bCs/>
                <w:color w:val="000000"/>
                <w:sz w:val="20"/>
                <w:szCs w:val="20"/>
                <w:lang w:eastAsia="sk-SK"/>
              </w:rPr>
              <w:t>7. Zimná pešia turistika</w:t>
            </w:r>
          </w:p>
        </w:tc>
        <w:tc>
          <w:tcPr>
            <w:tcW w:w="640" w:type="dxa"/>
            <w:tcBorders>
              <w:top w:val="nil"/>
              <w:left w:val="nil"/>
              <w:bottom w:val="single" w:sz="4" w:space="0" w:color="auto"/>
              <w:right w:val="single" w:sz="4" w:space="0" w:color="auto"/>
            </w:tcBorders>
            <w:shd w:val="clear" w:color="auto" w:fill="auto"/>
            <w:noWrap/>
            <w:vAlign w:val="center"/>
            <w:hideMark/>
          </w:tcPr>
          <w:p w14:paraId="1E5BCBDD" w14:textId="77777777" w:rsidR="002B705C" w:rsidRPr="00CB2EEC" w:rsidRDefault="002B705C" w:rsidP="002670CE">
            <w:pPr>
              <w:spacing w:after="0" w:line="240" w:lineRule="auto"/>
              <w:jc w:val="center"/>
              <w:rPr>
                <w:rFonts w:ascii="Calibri" w:eastAsia="Times New Roman" w:hAnsi="Calibri" w:cs="Calibri"/>
                <w:color w:val="000000"/>
                <w:sz w:val="20"/>
                <w:szCs w:val="20"/>
                <w:lang w:eastAsia="sk-SK"/>
              </w:rPr>
            </w:pPr>
            <w:r w:rsidRPr="00CB2EEC">
              <w:rPr>
                <w:rFonts w:ascii="Calibri" w:eastAsia="Times New Roman" w:hAnsi="Calibri" w:cs="Calibri"/>
                <w:color w:val="000000"/>
                <w:sz w:val="20"/>
                <w:szCs w:val="20"/>
                <w:lang w:eastAsia="sk-SK"/>
              </w:rPr>
              <w:t>7.1</w:t>
            </w:r>
          </w:p>
        </w:tc>
        <w:tc>
          <w:tcPr>
            <w:tcW w:w="1911" w:type="dxa"/>
            <w:tcBorders>
              <w:top w:val="nil"/>
              <w:left w:val="nil"/>
              <w:bottom w:val="single" w:sz="4" w:space="0" w:color="auto"/>
              <w:right w:val="nil"/>
            </w:tcBorders>
            <w:shd w:val="clear" w:color="auto" w:fill="auto"/>
            <w:noWrap/>
            <w:vAlign w:val="bottom"/>
            <w:hideMark/>
          </w:tcPr>
          <w:p w14:paraId="42A8A7D7" w14:textId="77777777" w:rsidR="002B705C" w:rsidRPr="00CB2EEC" w:rsidRDefault="002B705C" w:rsidP="002670CE">
            <w:pPr>
              <w:spacing w:after="0" w:line="240" w:lineRule="auto"/>
              <w:rPr>
                <w:rFonts w:ascii="Calibri" w:eastAsia="Times New Roman" w:hAnsi="Calibri" w:cs="Calibri"/>
                <w:color w:val="000000"/>
                <w:sz w:val="20"/>
                <w:szCs w:val="20"/>
                <w:lang w:eastAsia="sk-SK"/>
              </w:rPr>
            </w:pPr>
            <w:r w:rsidRPr="00CB2EEC">
              <w:rPr>
                <w:rFonts w:ascii="Calibri" w:eastAsia="Times New Roman" w:hAnsi="Calibri" w:cs="Calibri"/>
                <w:color w:val="000000"/>
                <w:sz w:val="20"/>
                <w:szCs w:val="20"/>
                <w:lang w:eastAsia="sk-SK"/>
              </w:rPr>
              <w:t>Turistika v roklinách NP SR</w:t>
            </w:r>
          </w:p>
        </w:tc>
        <w:tc>
          <w:tcPr>
            <w:tcW w:w="1701" w:type="dxa"/>
            <w:tcBorders>
              <w:top w:val="nil"/>
              <w:left w:val="single" w:sz="8" w:space="0" w:color="auto"/>
              <w:bottom w:val="single" w:sz="4" w:space="0" w:color="auto"/>
              <w:right w:val="single" w:sz="4" w:space="0" w:color="auto"/>
            </w:tcBorders>
            <w:shd w:val="clear" w:color="auto" w:fill="auto"/>
            <w:noWrap/>
            <w:vAlign w:val="center"/>
            <w:hideMark/>
          </w:tcPr>
          <w:p w14:paraId="5B3BB2AE" w14:textId="77777777" w:rsidR="002B705C" w:rsidRPr="00CB2EEC" w:rsidRDefault="002B705C" w:rsidP="002670CE">
            <w:pPr>
              <w:spacing w:after="0" w:line="240" w:lineRule="auto"/>
              <w:rPr>
                <w:rFonts w:ascii="Calibri" w:eastAsia="Times New Roman" w:hAnsi="Calibri" w:cs="Calibri"/>
                <w:b/>
                <w:bCs/>
                <w:color w:val="FF0000"/>
                <w:sz w:val="20"/>
                <w:szCs w:val="20"/>
                <w:lang w:eastAsia="sk-SK"/>
              </w:rPr>
            </w:pPr>
            <w:r w:rsidRPr="00CB2EEC">
              <w:rPr>
                <w:rFonts w:ascii="Calibri" w:eastAsia="Times New Roman" w:hAnsi="Calibri" w:cs="Calibri"/>
                <w:b/>
                <w:bCs/>
                <w:color w:val="FF0000"/>
                <w:sz w:val="20"/>
                <w:szCs w:val="20"/>
                <w:lang w:eastAsia="sk-SK"/>
              </w:rPr>
              <w:t>Q, R</w:t>
            </w:r>
          </w:p>
        </w:tc>
        <w:tc>
          <w:tcPr>
            <w:tcW w:w="567" w:type="dxa"/>
            <w:tcBorders>
              <w:top w:val="nil"/>
              <w:left w:val="nil"/>
              <w:bottom w:val="single" w:sz="4" w:space="0" w:color="auto"/>
              <w:right w:val="single" w:sz="8" w:space="0" w:color="auto"/>
            </w:tcBorders>
            <w:shd w:val="clear" w:color="000000" w:fill="F4B084"/>
            <w:noWrap/>
            <w:vAlign w:val="bottom"/>
            <w:hideMark/>
          </w:tcPr>
          <w:p w14:paraId="1C42934E" w14:textId="77777777" w:rsidR="002B705C" w:rsidRPr="00CB2EEC" w:rsidRDefault="002B705C" w:rsidP="002670CE">
            <w:pPr>
              <w:spacing w:after="0" w:line="240" w:lineRule="auto"/>
              <w:jc w:val="right"/>
              <w:rPr>
                <w:rFonts w:ascii="Calibri" w:eastAsia="Times New Roman" w:hAnsi="Calibri" w:cs="Calibri"/>
                <w:b/>
                <w:bCs/>
                <w:color w:val="000000"/>
                <w:sz w:val="20"/>
                <w:szCs w:val="20"/>
                <w:lang w:eastAsia="sk-SK"/>
              </w:rPr>
            </w:pPr>
            <w:r w:rsidRPr="00CB2EEC">
              <w:rPr>
                <w:rFonts w:ascii="Calibri" w:eastAsia="Times New Roman" w:hAnsi="Calibri" w:cs="Calibri"/>
                <w:b/>
                <w:bCs/>
                <w:color w:val="000000"/>
                <w:sz w:val="20"/>
                <w:szCs w:val="20"/>
                <w:lang w:eastAsia="sk-SK"/>
              </w:rPr>
              <w:t>1</w:t>
            </w:r>
          </w:p>
        </w:tc>
        <w:tc>
          <w:tcPr>
            <w:tcW w:w="992" w:type="dxa"/>
            <w:tcBorders>
              <w:top w:val="nil"/>
              <w:left w:val="nil"/>
              <w:bottom w:val="single" w:sz="4" w:space="0" w:color="auto"/>
              <w:right w:val="single" w:sz="4" w:space="0" w:color="auto"/>
            </w:tcBorders>
            <w:shd w:val="clear" w:color="auto" w:fill="auto"/>
            <w:noWrap/>
            <w:vAlign w:val="bottom"/>
            <w:hideMark/>
          </w:tcPr>
          <w:p w14:paraId="4119E5DC" w14:textId="77777777" w:rsidR="002B705C" w:rsidRPr="00CB2EEC" w:rsidRDefault="002B705C" w:rsidP="002670CE">
            <w:pPr>
              <w:spacing w:after="0" w:line="240" w:lineRule="auto"/>
              <w:jc w:val="right"/>
              <w:rPr>
                <w:rFonts w:ascii="Calibri" w:eastAsia="Times New Roman" w:hAnsi="Calibri" w:cs="Calibri"/>
                <w:color w:val="000000"/>
                <w:sz w:val="20"/>
                <w:szCs w:val="20"/>
                <w:lang w:eastAsia="sk-SK"/>
              </w:rPr>
            </w:pPr>
            <w:r w:rsidRPr="00CB2EEC">
              <w:rPr>
                <w:rFonts w:ascii="Calibri" w:eastAsia="Times New Roman" w:hAnsi="Calibri" w:cs="Calibri"/>
                <w:color w:val="000000"/>
                <w:sz w:val="20"/>
                <w:szCs w:val="20"/>
                <w:lang w:eastAsia="sk-SK"/>
              </w:rPr>
              <w:t>1</w:t>
            </w:r>
          </w:p>
        </w:tc>
        <w:tc>
          <w:tcPr>
            <w:tcW w:w="1143" w:type="dxa"/>
            <w:tcBorders>
              <w:top w:val="nil"/>
              <w:left w:val="nil"/>
              <w:bottom w:val="single" w:sz="4" w:space="0" w:color="auto"/>
              <w:right w:val="single" w:sz="4" w:space="0" w:color="auto"/>
            </w:tcBorders>
            <w:shd w:val="clear" w:color="auto" w:fill="auto"/>
            <w:noWrap/>
            <w:vAlign w:val="bottom"/>
            <w:hideMark/>
          </w:tcPr>
          <w:p w14:paraId="1994108D" w14:textId="77777777" w:rsidR="002B705C" w:rsidRPr="00CB2EEC" w:rsidRDefault="002B705C" w:rsidP="002670CE">
            <w:pPr>
              <w:spacing w:after="0" w:line="240" w:lineRule="auto"/>
              <w:jc w:val="right"/>
              <w:rPr>
                <w:rFonts w:ascii="Calibri" w:eastAsia="Times New Roman" w:hAnsi="Calibri" w:cs="Calibri"/>
                <w:color w:val="000000"/>
                <w:lang w:eastAsia="sk-SK"/>
              </w:rPr>
            </w:pPr>
            <w:r w:rsidRPr="00CB2EEC">
              <w:rPr>
                <w:rFonts w:ascii="Calibri" w:eastAsia="Times New Roman" w:hAnsi="Calibri" w:cs="Calibri"/>
                <w:color w:val="000000"/>
                <w:lang w:eastAsia="sk-SK"/>
              </w:rPr>
              <w:t>2</w:t>
            </w:r>
          </w:p>
        </w:tc>
        <w:tc>
          <w:tcPr>
            <w:tcW w:w="1253" w:type="dxa"/>
            <w:tcBorders>
              <w:top w:val="nil"/>
              <w:left w:val="nil"/>
              <w:bottom w:val="single" w:sz="4" w:space="0" w:color="auto"/>
              <w:right w:val="single" w:sz="4" w:space="0" w:color="auto"/>
            </w:tcBorders>
            <w:shd w:val="clear" w:color="000000" w:fill="D9E1F2"/>
            <w:noWrap/>
            <w:vAlign w:val="bottom"/>
            <w:hideMark/>
          </w:tcPr>
          <w:p w14:paraId="604BACB7" w14:textId="77777777" w:rsidR="002B705C" w:rsidRPr="00CB2EEC" w:rsidRDefault="002B705C" w:rsidP="002670CE">
            <w:pPr>
              <w:spacing w:after="0" w:line="240" w:lineRule="auto"/>
              <w:jc w:val="right"/>
              <w:rPr>
                <w:rFonts w:ascii="Calibri" w:eastAsia="Times New Roman" w:hAnsi="Calibri" w:cs="Calibri"/>
                <w:color w:val="000000"/>
                <w:lang w:eastAsia="sk-SK"/>
              </w:rPr>
            </w:pPr>
            <w:r w:rsidRPr="00CB2EEC">
              <w:rPr>
                <w:rFonts w:ascii="Calibri" w:eastAsia="Times New Roman" w:hAnsi="Calibri" w:cs="Calibri"/>
                <w:color w:val="000000"/>
                <w:lang w:eastAsia="sk-SK"/>
              </w:rPr>
              <w:t>1,5</w:t>
            </w:r>
          </w:p>
        </w:tc>
      </w:tr>
      <w:tr w:rsidR="002B705C" w:rsidRPr="00CB2EEC" w14:paraId="4AC3B4BA" w14:textId="77777777" w:rsidTr="002670CE">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1CC46B8" w14:textId="77777777" w:rsidR="002B705C" w:rsidRPr="00CB2EEC" w:rsidRDefault="002B705C" w:rsidP="002670CE">
            <w:pPr>
              <w:spacing w:after="0" w:line="240" w:lineRule="auto"/>
              <w:rPr>
                <w:rFonts w:ascii="Calibri" w:eastAsia="Times New Roman" w:hAnsi="Calibri" w:cs="Calibri"/>
                <w:b/>
                <w:bCs/>
                <w:color w:val="000000"/>
                <w:sz w:val="20"/>
                <w:szCs w:val="20"/>
                <w:lang w:eastAsia="sk-SK"/>
              </w:rPr>
            </w:pPr>
            <w:r w:rsidRPr="00CB2EEC">
              <w:rPr>
                <w:rFonts w:ascii="Calibri" w:eastAsia="Times New Roman" w:hAnsi="Calibri" w:cs="Calibri"/>
                <w:b/>
                <w:bCs/>
                <w:color w:val="000000"/>
                <w:sz w:val="20"/>
                <w:szCs w:val="20"/>
                <w:lang w:eastAsia="sk-SK"/>
              </w:rPr>
              <w:t> </w:t>
            </w:r>
          </w:p>
        </w:tc>
        <w:tc>
          <w:tcPr>
            <w:tcW w:w="640" w:type="dxa"/>
            <w:tcBorders>
              <w:top w:val="nil"/>
              <w:left w:val="nil"/>
              <w:bottom w:val="single" w:sz="4" w:space="0" w:color="auto"/>
              <w:right w:val="single" w:sz="4" w:space="0" w:color="auto"/>
            </w:tcBorders>
            <w:shd w:val="clear" w:color="auto" w:fill="auto"/>
            <w:noWrap/>
            <w:vAlign w:val="center"/>
            <w:hideMark/>
          </w:tcPr>
          <w:p w14:paraId="54C1D0CB" w14:textId="77777777" w:rsidR="002B705C" w:rsidRPr="00CB2EEC" w:rsidRDefault="002B705C" w:rsidP="002670CE">
            <w:pPr>
              <w:spacing w:after="0" w:line="240" w:lineRule="auto"/>
              <w:jc w:val="center"/>
              <w:rPr>
                <w:rFonts w:ascii="Calibri" w:eastAsia="Times New Roman" w:hAnsi="Calibri" w:cs="Calibri"/>
                <w:color w:val="000000"/>
                <w:sz w:val="20"/>
                <w:szCs w:val="20"/>
                <w:lang w:eastAsia="sk-SK"/>
              </w:rPr>
            </w:pPr>
            <w:r w:rsidRPr="00CB2EEC">
              <w:rPr>
                <w:rFonts w:ascii="Calibri" w:eastAsia="Times New Roman" w:hAnsi="Calibri" w:cs="Calibri"/>
                <w:color w:val="000000"/>
                <w:sz w:val="20"/>
                <w:szCs w:val="20"/>
                <w:lang w:eastAsia="sk-SK"/>
              </w:rPr>
              <w:t>7.2</w:t>
            </w:r>
          </w:p>
        </w:tc>
        <w:tc>
          <w:tcPr>
            <w:tcW w:w="1911" w:type="dxa"/>
            <w:tcBorders>
              <w:top w:val="nil"/>
              <w:left w:val="nil"/>
              <w:bottom w:val="single" w:sz="4" w:space="0" w:color="auto"/>
              <w:right w:val="nil"/>
            </w:tcBorders>
            <w:shd w:val="clear" w:color="auto" w:fill="auto"/>
            <w:noWrap/>
            <w:vAlign w:val="bottom"/>
            <w:hideMark/>
          </w:tcPr>
          <w:p w14:paraId="2A73CE52" w14:textId="77777777" w:rsidR="002B705C" w:rsidRPr="00CB2EEC" w:rsidRDefault="002B705C" w:rsidP="002670CE">
            <w:pPr>
              <w:spacing w:after="0" w:line="240" w:lineRule="auto"/>
              <w:rPr>
                <w:rFonts w:ascii="Calibri" w:eastAsia="Times New Roman" w:hAnsi="Calibri" w:cs="Calibri"/>
                <w:color w:val="000000"/>
                <w:sz w:val="20"/>
                <w:szCs w:val="20"/>
                <w:lang w:eastAsia="sk-SK"/>
              </w:rPr>
            </w:pPr>
            <w:r w:rsidRPr="00CB2EEC">
              <w:rPr>
                <w:rFonts w:ascii="Calibri" w:eastAsia="Times New Roman" w:hAnsi="Calibri" w:cs="Calibri"/>
                <w:color w:val="000000"/>
                <w:sz w:val="20"/>
                <w:szCs w:val="20"/>
                <w:lang w:eastAsia="sk-SK"/>
              </w:rPr>
              <w:t>Prechod prielomu Hornádu</w:t>
            </w:r>
          </w:p>
        </w:tc>
        <w:tc>
          <w:tcPr>
            <w:tcW w:w="1701" w:type="dxa"/>
            <w:tcBorders>
              <w:top w:val="nil"/>
              <w:left w:val="single" w:sz="8" w:space="0" w:color="auto"/>
              <w:bottom w:val="single" w:sz="4" w:space="0" w:color="auto"/>
              <w:right w:val="single" w:sz="4" w:space="0" w:color="auto"/>
            </w:tcBorders>
            <w:shd w:val="clear" w:color="auto" w:fill="auto"/>
            <w:noWrap/>
            <w:vAlign w:val="center"/>
            <w:hideMark/>
          </w:tcPr>
          <w:p w14:paraId="37BED9B6" w14:textId="77777777" w:rsidR="002B705C" w:rsidRPr="00CB2EEC" w:rsidRDefault="002B705C" w:rsidP="002670CE">
            <w:pPr>
              <w:spacing w:after="0" w:line="240" w:lineRule="auto"/>
              <w:rPr>
                <w:rFonts w:ascii="Calibri" w:eastAsia="Times New Roman" w:hAnsi="Calibri" w:cs="Calibri"/>
                <w:b/>
                <w:bCs/>
                <w:color w:val="FF0000"/>
                <w:sz w:val="20"/>
                <w:szCs w:val="20"/>
                <w:lang w:eastAsia="sk-SK"/>
              </w:rPr>
            </w:pPr>
            <w:r w:rsidRPr="00CB2EEC">
              <w:rPr>
                <w:rFonts w:ascii="Calibri" w:eastAsia="Times New Roman" w:hAnsi="Calibri" w:cs="Calibri"/>
                <w:b/>
                <w:bCs/>
                <w:color w:val="FF0000"/>
                <w:sz w:val="20"/>
                <w:szCs w:val="20"/>
                <w:lang w:eastAsia="sk-SK"/>
              </w:rPr>
              <w:t xml:space="preserve">P, </w:t>
            </w:r>
            <w:r w:rsidRPr="00CB2EEC">
              <w:rPr>
                <w:rFonts w:ascii="Calibri" w:eastAsia="Times New Roman" w:hAnsi="Calibri" w:cs="Calibri"/>
                <w:b/>
                <w:bCs/>
                <w:color w:val="ED7D31"/>
                <w:sz w:val="20"/>
                <w:szCs w:val="20"/>
                <w:lang w:eastAsia="sk-SK"/>
              </w:rPr>
              <w:t>Q,</w:t>
            </w:r>
            <w:r w:rsidRPr="00CB2EEC">
              <w:rPr>
                <w:rFonts w:ascii="Calibri" w:eastAsia="Times New Roman" w:hAnsi="Calibri" w:cs="Calibri"/>
                <w:b/>
                <w:bCs/>
                <w:color w:val="FF0000"/>
                <w:sz w:val="20"/>
                <w:szCs w:val="20"/>
                <w:lang w:eastAsia="sk-SK"/>
              </w:rPr>
              <w:t xml:space="preserve"> R</w:t>
            </w:r>
          </w:p>
        </w:tc>
        <w:tc>
          <w:tcPr>
            <w:tcW w:w="567" w:type="dxa"/>
            <w:tcBorders>
              <w:top w:val="nil"/>
              <w:left w:val="nil"/>
              <w:bottom w:val="single" w:sz="4" w:space="0" w:color="auto"/>
              <w:right w:val="single" w:sz="8" w:space="0" w:color="auto"/>
            </w:tcBorders>
            <w:shd w:val="clear" w:color="000000" w:fill="FF0000"/>
            <w:noWrap/>
            <w:vAlign w:val="bottom"/>
            <w:hideMark/>
          </w:tcPr>
          <w:p w14:paraId="2FB2DE41" w14:textId="77777777" w:rsidR="002B705C" w:rsidRPr="00CB2EEC" w:rsidRDefault="002B705C" w:rsidP="002670CE">
            <w:pPr>
              <w:spacing w:after="0" w:line="240" w:lineRule="auto"/>
              <w:jc w:val="right"/>
              <w:rPr>
                <w:rFonts w:ascii="Calibri" w:eastAsia="Times New Roman" w:hAnsi="Calibri" w:cs="Calibri"/>
                <w:b/>
                <w:bCs/>
                <w:color w:val="000000"/>
                <w:sz w:val="20"/>
                <w:szCs w:val="20"/>
                <w:lang w:eastAsia="sk-SK"/>
              </w:rPr>
            </w:pPr>
            <w:r w:rsidRPr="00CB2EEC">
              <w:rPr>
                <w:rFonts w:ascii="Calibri" w:eastAsia="Times New Roman" w:hAnsi="Calibri" w:cs="Calibri"/>
                <w:b/>
                <w:bCs/>
                <w:color w:val="000000"/>
                <w:sz w:val="20"/>
                <w:szCs w:val="20"/>
                <w:lang w:eastAsia="sk-SK"/>
              </w:rPr>
              <w:t>2</w:t>
            </w:r>
          </w:p>
        </w:tc>
        <w:tc>
          <w:tcPr>
            <w:tcW w:w="992" w:type="dxa"/>
            <w:tcBorders>
              <w:top w:val="nil"/>
              <w:left w:val="nil"/>
              <w:bottom w:val="single" w:sz="4" w:space="0" w:color="auto"/>
              <w:right w:val="single" w:sz="4" w:space="0" w:color="auto"/>
            </w:tcBorders>
            <w:shd w:val="clear" w:color="auto" w:fill="auto"/>
            <w:noWrap/>
            <w:vAlign w:val="bottom"/>
            <w:hideMark/>
          </w:tcPr>
          <w:p w14:paraId="7C0533DC" w14:textId="77777777" w:rsidR="002B705C" w:rsidRPr="00CB2EEC" w:rsidRDefault="002B705C" w:rsidP="002670CE">
            <w:pPr>
              <w:spacing w:after="0" w:line="240" w:lineRule="auto"/>
              <w:jc w:val="right"/>
              <w:rPr>
                <w:rFonts w:ascii="Calibri" w:eastAsia="Times New Roman" w:hAnsi="Calibri" w:cs="Calibri"/>
                <w:color w:val="000000"/>
                <w:sz w:val="20"/>
                <w:szCs w:val="20"/>
                <w:lang w:eastAsia="sk-SK"/>
              </w:rPr>
            </w:pPr>
            <w:r w:rsidRPr="00CB2EEC">
              <w:rPr>
                <w:rFonts w:ascii="Calibri" w:eastAsia="Times New Roman" w:hAnsi="Calibri" w:cs="Calibri"/>
                <w:color w:val="000000"/>
                <w:sz w:val="20"/>
                <w:szCs w:val="20"/>
                <w:lang w:eastAsia="sk-SK"/>
              </w:rPr>
              <w:t>2</w:t>
            </w:r>
          </w:p>
        </w:tc>
        <w:tc>
          <w:tcPr>
            <w:tcW w:w="1143" w:type="dxa"/>
            <w:tcBorders>
              <w:top w:val="nil"/>
              <w:left w:val="nil"/>
              <w:bottom w:val="single" w:sz="4" w:space="0" w:color="auto"/>
              <w:right w:val="single" w:sz="4" w:space="0" w:color="auto"/>
            </w:tcBorders>
            <w:shd w:val="clear" w:color="auto" w:fill="auto"/>
            <w:noWrap/>
            <w:vAlign w:val="bottom"/>
            <w:hideMark/>
          </w:tcPr>
          <w:p w14:paraId="6EA36D5D" w14:textId="77777777" w:rsidR="002B705C" w:rsidRPr="00CB2EEC" w:rsidRDefault="002B705C" w:rsidP="002670CE">
            <w:pPr>
              <w:spacing w:after="0" w:line="240" w:lineRule="auto"/>
              <w:jc w:val="right"/>
              <w:rPr>
                <w:rFonts w:ascii="Calibri" w:eastAsia="Times New Roman" w:hAnsi="Calibri" w:cs="Calibri"/>
                <w:color w:val="000000"/>
                <w:lang w:eastAsia="sk-SK"/>
              </w:rPr>
            </w:pPr>
            <w:r w:rsidRPr="00CB2EEC">
              <w:rPr>
                <w:rFonts w:ascii="Calibri" w:eastAsia="Times New Roman" w:hAnsi="Calibri" w:cs="Calibri"/>
                <w:color w:val="000000"/>
                <w:lang w:eastAsia="sk-SK"/>
              </w:rPr>
              <w:t>1</w:t>
            </w:r>
          </w:p>
        </w:tc>
        <w:tc>
          <w:tcPr>
            <w:tcW w:w="1253" w:type="dxa"/>
            <w:tcBorders>
              <w:top w:val="nil"/>
              <w:left w:val="nil"/>
              <w:bottom w:val="single" w:sz="4" w:space="0" w:color="auto"/>
              <w:right w:val="single" w:sz="4" w:space="0" w:color="auto"/>
            </w:tcBorders>
            <w:shd w:val="clear" w:color="000000" w:fill="D9E1F2"/>
            <w:noWrap/>
            <w:vAlign w:val="bottom"/>
            <w:hideMark/>
          </w:tcPr>
          <w:p w14:paraId="0EA77F1A" w14:textId="77777777" w:rsidR="002B705C" w:rsidRPr="00CB2EEC" w:rsidRDefault="002B705C" w:rsidP="002670CE">
            <w:pPr>
              <w:spacing w:after="0" w:line="240" w:lineRule="auto"/>
              <w:jc w:val="right"/>
              <w:rPr>
                <w:rFonts w:ascii="Calibri" w:eastAsia="Times New Roman" w:hAnsi="Calibri" w:cs="Calibri"/>
                <w:color w:val="000000"/>
                <w:lang w:eastAsia="sk-SK"/>
              </w:rPr>
            </w:pPr>
            <w:r w:rsidRPr="00CB2EEC">
              <w:rPr>
                <w:rFonts w:ascii="Calibri" w:eastAsia="Times New Roman" w:hAnsi="Calibri" w:cs="Calibri"/>
                <w:color w:val="000000"/>
                <w:lang w:eastAsia="sk-SK"/>
              </w:rPr>
              <w:t>1,5</w:t>
            </w:r>
          </w:p>
        </w:tc>
      </w:tr>
      <w:tr w:rsidR="002B705C" w:rsidRPr="00CB2EEC" w14:paraId="364FCBFD" w14:textId="77777777" w:rsidTr="002670CE">
        <w:trPr>
          <w:trHeight w:val="82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0F92AD2" w14:textId="77777777" w:rsidR="002B705C" w:rsidRPr="00CB2EEC" w:rsidRDefault="002B705C" w:rsidP="002670CE">
            <w:pPr>
              <w:spacing w:after="0" w:line="240" w:lineRule="auto"/>
              <w:rPr>
                <w:rFonts w:ascii="Calibri" w:eastAsia="Times New Roman" w:hAnsi="Calibri" w:cs="Calibri"/>
                <w:b/>
                <w:bCs/>
                <w:color w:val="000000"/>
                <w:sz w:val="20"/>
                <w:szCs w:val="20"/>
                <w:lang w:eastAsia="sk-SK"/>
              </w:rPr>
            </w:pPr>
            <w:r w:rsidRPr="00CB2EEC">
              <w:rPr>
                <w:rFonts w:ascii="Calibri" w:eastAsia="Times New Roman" w:hAnsi="Calibri" w:cs="Calibri"/>
                <w:b/>
                <w:bCs/>
                <w:color w:val="000000"/>
                <w:sz w:val="20"/>
                <w:szCs w:val="20"/>
                <w:lang w:eastAsia="sk-SK"/>
              </w:rPr>
              <w:t> </w:t>
            </w:r>
          </w:p>
        </w:tc>
        <w:tc>
          <w:tcPr>
            <w:tcW w:w="640" w:type="dxa"/>
            <w:tcBorders>
              <w:top w:val="nil"/>
              <w:left w:val="nil"/>
              <w:bottom w:val="single" w:sz="4" w:space="0" w:color="auto"/>
              <w:right w:val="single" w:sz="4" w:space="0" w:color="auto"/>
            </w:tcBorders>
            <w:shd w:val="clear" w:color="auto" w:fill="auto"/>
            <w:noWrap/>
            <w:vAlign w:val="center"/>
            <w:hideMark/>
          </w:tcPr>
          <w:p w14:paraId="01EC9FAC" w14:textId="77777777" w:rsidR="002B705C" w:rsidRPr="00CB2EEC" w:rsidRDefault="002B705C" w:rsidP="002670CE">
            <w:pPr>
              <w:spacing w:after="0" w:line="240" w:lineRule="auto"/>
              <w:jc w:val="center"/>
              <w:rPr>
                <w:rFonts w:ascii="Calibri" w:eastAsia="Times New Roman" w:hAnsi="Calibri" w:cs="Calibri"/>
                <w:color w:val="000000"/>
                <w:sz w:val="20"/>
                <w:szCs w:val="20"/>
                <w:lang w:eastAsia="sk-SK"/>
              </w:rPr>
            </w:pPr>
            <w:r w:rsidRPr="00CB2EEC">
              <w:rPr>
                <w:rFonts w:ascii="Calibri" w:eastAsia="Times New Roman" w:hAnsi="Calibri" w:cs="Calibri"/>
                <w:color w:val="000000"/>
                <w:sz w:val="20"/>
                <w:szCs w:val="20"/>
                <w:lang w:eastAsia="sk-SK"/>
              </w:rPr>
              <w:t>7.3</w:t>
            </w:r>
          </w:p>
        </w:tc>
        <w:tc>
          <w:tcPr>
            <w:tcW w:w="1911" w:type="dxa"/>
            <w:tcBorders>
              <w:top w:val="nil"/>
              <w:left w:val="nil"/>
              <w:bottom w:val="single" w:sz="4" w:space="0" w:color="auto"/>
              <w:right w:val="nil"/>
            </w:tcBorders>
            <w:shd w:val="clear" w:color="auto" w:fill="auto"/>
            <w:vAlign w:val="bottom"/>
            <w:hideMark/>
          </w:tcPr>
          <w:p w14:paraId="6DB633BE" w14:textId="77777777" w:rsidR="002B705C" w:rsidRPr="00CB2EEC" w:rsidRDefault="002B705C" w:rsidP="002670CE">
            <w:pPr>
              <w:spacing w:after="0" w:line="240" w:lineRule="auto"/>
              <w:rPr>
                <w:rFonts w:ascii="Calibri" w:eastAsia="Times New Roman" w:hAnsi="Calibri" w:cs="Calibri"/>
                <w:color w:val="000000"/>
                <w:sz w:val="20"/>
                <w:szCs w:val="20"/>
                <w:lang w:eastAsia="sk-SK"/>
              </w:rPr>
            </w:pPr>
            <w:r w:rsidRPr="00CB2EEC">
              <w:rPr>
                <w:rFonts w:ascii="Calibri" w:eastAsia="Times New Roman" w:hAnsi="Calibri" w:cs="Calibri"/>
                <w:color w:val="000000"/>
                <w:sz w:val="20"/>
                <w:szCs w:val="20"/>
                <w:lang w:eastAsia="sk-SK"/>
              </w:rPr>
              <w:t>Zimná hipoturistika (vrátane konských záprahov a skijöring)</w:t>
            </w:r>
          </w:p>
        </w:tc>
        <w:tc>
          <w:tcPr>
            <w:tcW w:w="1701" w:type="dxa"/>
            <w:tcBorders>
              <w:top w:val="nil"/>
              <w:left w:val="single" w:sz="8" w:space="0" w:color="auto"/>
              <w:bottom w:val="single" w:sz="4" w:space="0" w:color="auto"/>
              <w:right w:val="single" w:sz="4" w:space="0" w:color="auto"/>
            </w:tcBorders>
            <w:shd w:val="clear" w:color="auto" w:fill="auto"/>
            <w:noWrap/>
            <w:vAlign w:val="center"/>
            <w:hideMark/>
          </w:tcPr>
          <w:p w14:paraId="01EBEAF4" w14:textId="77777777" w:rsidR="002B705C" w:rsidRPr="00CB2EEC" w:rsidRDefault="002B705C" w:rsidP="002670CE">
            <w:pPr>
              <w:spacing w:after="0" w:line="240" w:lineRule="auto"/>
              <w:rPr>
                <w:rFonts w:ascii="Calibri" w:eastAsia="Times New Roman" w:hAnsi="Calibri" w:cs="Calibri"/>
                <w:b/>
                <w:bCs/>
                <w:color w:val="FF0000"/>
                <w:sz w:val="20"/>
                <w:szCs w:val="20"/>
                <w:lang w:eastAsia="sk-SK"/>
              </w:rPr>
            </w:pPr>
            <w:r w:rsidRPr="00CB2EEC">
              <w:rPr>
                <w:rFonts w:ascii="Calibri" w:eastAsia="Times New Roman" w:hAnsi="Calibri" w:cs="Calibri"/>
                <w:b/>
                <w:bCs/>
                <w:color w:val="FF0000"/>
                <w:sz w:val="20"/>
                <w:szCs w:val="20"/>
                <w:lang w:eastAsia="sk-SK"/>
              </w:rPr>
              <w:t xml:space="preserve">M, Q, </w:t>
            </w:r>
            <w:r w:rsidRPr="00CB2EEC">
              <w:rPr>
                <w:rFonts w:ascii="Calibri" w:eastAsia="Times New Roman" w:hAnsi="Calibri" w:cs="Calibri"/>
                <w:b/>
                <w:bCs/>
                <w:color w:val="ED7D31"/>
                <w:sz w:val="20"/>
                <w:szCs w:val="20"/>
                <w:lang w:eastAsia="sk-SK"/>
              </w:rPr>
              <w:t>R</w:t>
            </w:r>
          </w:p>
        </w:tc>
        <w:tc>
          <w:tcPr>
            <w:tcW w:w="567" w:type="dxa"/>
            <w:tcBorders>
              <w:top w:val="nil"/>
              <w:left w:val="nil"/>
              <w:bottom w:val="single" w:sz="4" w:space="0" w:color="auto"/>
              <w:right w:val="single" w:sz="8" w:space="0" w:color="auto"/>
            </w:tcBorders>
            <w:shd w:val="clear" w:color="000000" w:fill="F4B084"/>
            <w:noWrap/>
            <w:vAlign w:val="bottom"/>
            <w:hideMark/>
          </w:tcPr>
          <w:p w14:paraId="52A13E79" w14:textId="77777777" w:rsidR="002B705C" w:rsidRPr="00CB2EEC" w:rsidRDefault="002B705C" w:rsidP="002670CE">
            <w:pPr>
              <w:spacing w:after="0" w:line="240" w:lineRule="auto"/>
              <w:jc w:val="right"/>
              <w:rPr>
                <w:rFonts w:ascii="Calibri" w:eastAsia="Times New Roman" w:hAnsi="Calibri" w:cs="Calibri"/>
                <w:b/>
                <w:bCs/>
                <w:color w:val="000000"/>
                <w:sz w:val="20"/>
                <w:szCs w:val="20"/>
                <w:lang w:eastAsia="sk-SK"/>
              </w:rPr>
            </w:pPr>
            <w:r w:rsidRPr="00CB2EEC">
              <w:rPr>
                <w:rFonts w:ascii="Calibri" w:eastAsia="Times New Roman" w:hAnsi="Calibri" w:cs="Calibri"/>
                <w:b/>
                <w:bCs/>
                <w:color w:val="000000"/>
                <w:sz w:val="20"/>
                <w:szCs w:val="20"/>
                <w:lang w:eastAsia="sk-SK"/>
              </w:rPr>
              <w:t>1</w:t>
            </w:r>
          </w:p>
        </w:tc>
        <w:tc>
          <w:tcPr>
            <w:tcW w:w="992" w:type="dxa"/>
            <w:tcBorders>
              <w:top w:val="nil"/>
              <w:left w:val="nil"/>
              <w:bottom w:val="single" w:sz="4" w:space="0" w:color="auto"/>
              <w:right w:val="single" w:sz="4" w:space="0" w:color="auto"/>
            </w:tcBorders>
            <w:shd w:val="clear" w:color="auto" w:fill="auto"/>
            <w:noWrap/>
            <w:vAlign w:val="bottom"/>
            <w:hideMark/>
          </w:tcPr>
          <w:p w14:paraId="0EE68BC4" w14:textId="77777777" w:rsidR="002B705C" w:rsidRPr="00CB2EEC" w:rsidRDefault="002B705C" w:rsidP="002670CE">
            <w:pPr>
              <w:spacing w:after="0" w:line="240" w:lineRule="auto"/>
              <w:jc w:val="right"/>
              <w:rPr>
                <w:rFonts w:ascii="Calibri" w:eastAsia="Times New Roman" w:hAnsi="Calibri" w:cs="Calibri"/>
                <w:color w:val="000000"/>
                <w:sz w:val="20"/>
                <w:szCs w:val="20"/>
                <w:lang w:eastAsia="sk-SK"/>
              </w:rPr>
            </w:pPr>
            <w:r w:rsidRPr="00CB2EEC">
              <w:rPr>
                <w:rFonts w:ascii="Calibri" w:eastAsia="Times New Roman" w:hAnsi="Calibri" w:cs="Calibri"/>
                <w:color w:val="000000"/>
                <w:sz w:val="20"/>
                <w:szCs w:val="20"/>
                <w:lang w:eastAsia="sk-SK"/>
              </w:rPr>
              <w:t>1</w:t>
            </w:r>
          </w:p>
        </w:tc>
        <w:tc>
          <w:tcPr>
            <w:tcW w:w="1143" w:type="dxa"/>
            <w:tcBorders>
              <w:top w:val="nil"/>
              <w:left w:val="nil"/>
              <w:bottom w:val="single" w:sz="4" w:space="0" w:color="auto"/>
              <w:right w:val="single" w:sz="4" w:space="0" w:color="auto"/>
            </w:tcBorders>
            <w:shd w:val="clear" w:color="auto" w:fill="auto"/>
            <w:noWrap/>
            <w:vAlign w:val="bottom"/>
            <w:hideMark/>
          </w:tcPr>
          <w:p w14:paraId="3D8CA696" w14:textId="77777777" w:rsidR="002B705C" w:rsidRPr="00CB2EEC" w:rsidRDefault="002B705C" w:rsidP="002670CE">
            <w:pPr>
              <w:spacing w:after="0" w:line="240" w:lineRule="auto"/>
              <w:jc w:val="right"/>
              <w:rPr>
                <w:rFonts w:ascii="Calibri" w:eastAsia="Times New Roman" w:hAnsi="Calibri" w:cs="Calibri"/>
                <w:color w:val="000000"/>
                <w:lang w:eastAsia="sk-SK"/>
              </w:rPr>
            </w:pPr>
            <w:r w:rsidRPr="00CB2EEC">
              <w:rPr>
                <w:rFonts w:ascii="Calibri" w:eastAsia="Times New Roman" w:hAnsi="Calibri" w:cs="Calibri"/>
                <w:color w:val="000000"/>
                <w:lang w:eastAsia="sk-SK"/>
              </w:rPr>
              <w:t>2</w:t>
            </w:r>
          </w:p>
        </w:tc>
        <w:tc>
          <w:tcPr>
            <w:tcW w:w="1253" w:type="dxa"/>
            <w:tcBorders>
              <w:top w:val="nil"/>
              <w:left w:val="nil"/>
              <w:bottom w:val="single" w:sz="4" w:space="0" w:color="auto"/>
              <w:right w:val="single" w:sz="4" w:space="0" w:color="auto"/>
            </w:tcBorders>
            <w:shd w:val="clear" w:color="000000" w:fill="D9E1F2"/>
            <w:noWrap/>
            <w:vAlign w:val="bottom"/>
            <w:hideMark/>
          </w:tcPr>
          <w:p w14:paraId="57DF8DCD" w14:textId="77777777" w:rsidR="002B705C" w:rsidRPr="00CB2EEC" w:rsidRDefault="002B705C" w:rsidP="002670CE">
            <w:pPr>
              <w:spacing w:after="0" w:line="240" w:lineRule="auto"/>
              <w:jc w:val="right"/>
              <w:rPr>
                <w:rFonts w:ascii="Calibri" w:eastAsia="Times New Roman" w:hAnsi="Calibri" w:cs="Calibri"/>
                <w:color w:val="000000"/>
                <w:lang w:eastAsia="sk-SK"/>
              </w:rPr>
            </w:pPr>
            <w:r w:rsidRPr="00CB2EEC">
              <w:rPr>
                <w:rFonts w:ascii="Calibri" w:eastAsia="Times New Roman" w:hAnsi="Calibri" w:cs="Calibri"/>
                <w:color w:val="000000"/>
                <w:lang w:eastAsia="sk-SK"/>
              </w:rPr>
              <w:t>1,5</w:t>
            </w:r>
          </w:p>
        </w:tc>
      </w:tr>
      <w:tr w:rsidR="002B705C" w:rsidRPr="00CB2EEC" w14:paraId="5EF66202" w14:textId="77777777" w:rsidTr="002670CE">
        <w:trPr>
          <w:trHeight w:val="630"/>
        </w:trPr>
        <w:tc>
          <w:tcPr>
            <w:tcW w:w="1560" w:type="dxa"/>
            <w:tcBorders>
              <w:top w:val="nil"/>
              <w:left w:val="single" w:sz="4" w:space="0" w:color="auto"/>
              <w:bottom w:val="single" w:sz="4" w:space="0" w:color="auto"/>
              <w:right w:val="single" w:sz="4" w:space="0" w:color="auto"/>
            </w:tcBorders>
            <w:shd w:val="clear" w:color="auto" w:fill="auto"/>
            <w:vAlign w:val="bottom"/>
            <w:hideMark/>
          </w:tcPr>
          <w:p w14:paraId="2E516C92" w14:textId="77777777" w:rsidR="002B705C" w:rsidRPr="00CB2EEC" w:rsidRDefault="002B705C" w:rsidP="002670CE">
            <w:pPr>
              <w:spacing w:after="0" w:line="240" w:lineRule="auto"/>
              <w:rPr>
                <w:rFonts w:ascii="Calibri" w:eastAsia="Times New Roman" w:hAnsi="Calibri" w:cs="Calibri"/>
                <w:b/>
                <w:bCs/>
                <w:color w:val="000000"/>
                <w:sz w:val="20"/>
                <w:szCs w:val="20"/>
                <w:lang w:eastAsia="sk-SK"/>
              </w:rPr>
            </w:pPr>
            <w:r w:rsidRPr="00CB2EEC">
              <w:rPr>
                <w:rFonts w:ascii="Calibri" w:eastAsia="Times New Roman" w:hAnsi="Calibri" w:cs="Calibri"/>
                <w:b/>
                <w:bCs/>
                <w:color w:val="000000"/>
                <w:sz w:val="20"/>
                <w:szCs w:val="20"/>
                <w:lang w:eastAsia="sk-SK"/>
              </w:rPr>
              <w:t>8. Zimné športy na prírodnom ľade</w:t>
            </w:r>
          </w:p>
        </w:tc>
        <w:tc>
          <w:tcPr>
            <w:tcW w:w="640" w:type="dxa"/>
            <w:tcBorders>
              <w:top w:val="nil"/>
              <w:left w:val="nil"/>
              <w:bottom w:val="single" w:sz="4" w:space="0" w:color="auto"/>
              <w:right w:val="single" w:sz="4" w:space="0" w:color="auto"/>
            </w:tcBorders>
            <w:shd w:val="clear" w:color="auto" w:fill="auto"/>
            <w:noWrap/>
            <w:vAlign w:val="center"/>
            <w:hideMark/>
          </w:tcPr>
          <w:p w14:paraId="04BEF7B5" w14:textId="77777777" w:rsidR="002B705C" w:rsidRPr="00CB2EEC" w:rsidRDefault="002B705C" w:rsidP="002670CE">
            <w:pPr>
              <w:spacing w:after="0" w:line="240" w:lineRule="auto"/>
              <w:jc w:val="center"/>
              <w:rPr>
                <w:rFonts w:ascii="Calibri" w:eastAsia="Times New Roman" w:hAnsi="Calibri" w:cs="Calibri"/>
                <w:color w:val="000000"/>
                <w:sz w:val="20"/>
                <w:szCs w:val="20"/>
                <w:lang w:eastAsia="sk-SK"/>
              </w:rPr>
            </w:pPr>
            <w:r w:rsidRPr="00CB2EEC">
              <w:rPr>
                <w:rFonts w:ascii="Calibri" w:eastAsia="Times New Roman" w:hAnsi="Calibri" w:cs="Calibri"/>
                <w:color w:val="000000"/>
                <w:sz w:val="20"/>
                <w:szCs w:val="20"/>
                <w:lang w:eastAsia="sk-SK"/>
              </w:rPr>
              <w:t> </w:t>
            </w:r>
          </w:p>
        </w:tc>
        <w:tc>
          <w:tcPr>
            <w:tcW w:w="1911" w:type="dxa"/>
            <w:tcBorders>
              <w:top w:val="nil"/>
              <w:left w:val="nil"/>
              <w:bottom w:val="single" w:sz="4" w:space="0" w:color="auto"/>
              <w:right w:val="nil"/>
            </w:tcBorders>
            <w:shd w:val="clear" w:color="auto" w:fill="auto"/>
            <w:noWrap/>
            <w:vAlign w:val="bottom"/>
            <w:hideMark/>
          </w:tcPr>
          <w:p w14:paraId="2D3185FD" w14:textId="77777777" w:rsidR="002B705C" w:rsidRPr="00CB2EEC" w:rsidRDefault="002B705C" w:rsidP="002670CE">
            <w:pPr>
              <w:spacing w:after="0" w:line="240" w:lineRule="auto"/>
              <w:rPr>
                <w:rFonts w:ascii="Calibri" w:eastAsia="Times New Roman" w:hAnsi="Calibri" w:cs="Calibri"/>
                <w:color w:val="000000"/>
                <w:sz w:val="20"/>
                <w:szCs w:val="20"/>
                <w:lang w:eastAsia="sk-SK"/>
              </w:rPr>
            </w:pPr>
            <w:r w:rsidRPr="00CB2EEC">
              <w:rPr>
                <w:rFonts w:ascii="Calibri" w:eastAsia="Times New Roman" w:hAnsi="Calibri" w:cs="Calibri"/>
                <w:color w:val="000000"/>
                <w:sz w:val="20"/>
                <w:szCs w:val="20"/>
                <w:lang w:eastAsia="sk-SK"/>
              </w:rPr>
              <w:t> </w:t>
            </w:r>
          </w:p>
        </w:tc>
        <w:tc>
          <w:tcPr>
            <w:tcW w:w="1701" w:type="dxa"/>
            <w:tcBorders>
              <w:top w:val="nil"/>
              <w:left w:val="single" w:sz="8" w:space="0" w:color="auto"/>
              <w:bottom w:val="single" w:sz="4" w:space="0" w:color="auto"/>
              <w:right w:val="single" w:sz="4" w:space="0" w:color="auto"/>
            </w:tcBorders>
            <w:shd w:val="clear" w:color="auto" w:fill="auto"/>
            <w:noWrap/>
            <w:vAlign w:val="center"/>
            <w:hideMark/>
          </w:tcPr>
          <w:p w14:paraId="5FEE0D54" w14:textId="77777777" w:rsidR="002B705C" w:rsidRPr="00CB2EEC" w:rsidRDefault="002B705C" w:rsidP="002670CE">
            <w:pPr>
              <w:spacing w:after="0" w:line="240" w:lineRule="auto"/>
              <w:rPr>
                <w:rFonts w:ascii="Calibri" w:eastAsia="Times New Roman" w:hAnsi="Calibri" w:cs="Calibri"/>
                <w:b/>
                <w:bCs/>
                <w:color w:val="FF0000"/>
                <w:sz w:val="20"/>
                <w:szCs w:val="20"/>
                <w:lang w:eastAsia="sk-SK"/>
              </w:rPr>
            </w:pPr>
            <w:r w:rsidRPr="00CB2EEC">
              <w:rPr>
                <w:rFonts w:ascii="Calibri" w:eastAsia="Times New Roman" w:hAnsi="Calibri" w:cs="Calibri"/>
                <w:b/>
                <w:bCs/>
                <w:color w:val="FF0000"/>
                <w:sz w:val="20"/>
                <w:szCs w:val="20"/>
                <w:lang w:eastAsia="sk-SK"/>
              </w:rPr>
              <w:t xml:space="preserve">P, </w:t>
            </w:r>
            <w:r w:rsidRPr="00CB2EEC">
              <w:rPr>
                <w:rFonts w:ascii="Calibri" w:eastAsia="Times New Roman" w:hAnsi="Calibri" w:cs="Calibri"/>
                <w:b/>
                <w:bCs/>
                <w:color w:val="ED7D31"/>
                <w:sz w:val="20"/>
                <w:szCs w:val="20"/>
                <w:lang w:eastAsia="sk-SK"/>
              </w:rPr>
              <w:t xml:space="preserve">Q, </w:t>
            </w:r>
          </w:p>
        </w:tc>
        <w:tc>
          <w:tcPr>
            <w:tcW w:w="567" w:type="dxa"/>
            <w:tcBorders>
              <w:top w:val="nil"/>
              <w:left w:val="nil"/>
              <w:bottom w:val="single" w:sz="4" w:space="0" w:color="auto"/>
              <w:right w:val="single" w:sz="8" w:space="0" w:color="auto"/>
            </w:tcBorders>
            <w:shd w:val="clear" w:color="000000" w:fill="FF0000"/>
            <w:noWrap/>
            <w:vAlign w:val="bottom"/>
            <w:hideMark/>
          </w:tcPr>
          <w:p w14:paraId="4A82483A" w14:textId="77777777" w:rsidR="002B705C" w:rsidRPr="00CB2EEC" w:rsidRDefault="002B705C" w:rsidP="002670CE">
            <w:pPr>
              <w:spacing w:after="0" w:line="240" w:lineRule="auto"/>
              <w:jc w:val="right"/>
              <w:rPr>
                <w:rFonts w:ascii="Calibri" w:eastAsia="Times New Roman" w:hAnsi="Calibri" w:cs="Calibri"/>
                <w:b/>
                <w:bCs/>
                <w:color w:val="000000"/>
                <w:sz w:val="20"/>
                <w:szCs w:val="20"/>
                <w:lang w:eastAsia="sk-SK"/>
              </w:rPr>
            </w:pPr>
            <w:r w:rsidRPr="00CB2EEC">
              <w:rPr>
                <w:rFonts w:ascii="Calibri" w:eastAsia="Times New Roman" w:hAnsi="Calibri" w:cs="Calibri"/>
                <w:b/>
                <w:bCs/>
                <w:color w:val="000000"/>
                <w:sz w:val="20"/>
                <w:szCs w:val="20"/>
                <w:lang w:eastAsia="sk-SK"/>
              </w:rPr>
              <w:t>2</w:t>
            </w:r>
          </w:p>
        </w:tc>
        <w:tc>
          <w:tcPr>
            <w:tcW w:w="992" w:type="dxa"/>
            <w:tcBorders>
              <w:top w:val="nil"/>
              <w:left w:val="nil"/>
              <w:bottom w:val="single" w:sz="4" w:space="0" w:color="auto"/>
              <w:right w:val="single" w:sz="4" w:space="0" w:color="auto"/>
            </w:tcBorders>
            <w:shd w:val="clear" w:color="auto" w:fill="auto"/>
            <w:noWrap/>
            <w:vAlign w:val="bottom"/>
            <w:hideMark/>
          </w:tcPr>
          <w:p w14:paraId="0319A474" w14:textId="77777777" w:rsidR="002B705C" w:rsidRPr="00CB2EEC" w:rsidRDefault="002B705C" w:rsidP="002670CE">
            <w:pPr>
              <w:spacing w:after="0" w:line="240" w:lineRule="auto"/>
              <w:jc w:val="right"/>
              <w:rPr>
                <w:rFonts w:ascii="Calibri" w:eastAsia="Times New Roman" w:hAnsi="Calibri" w:cs="Calibri"/>
                <w:color w:val="000000"/>
                <w:sz w:val="20"/>
                <w:szCs w:val="20"/>
                <w:lang w:eastAsia="sk-SK"/>
              </w:rPr>
            </w:pPr>
            <w:r w:rsidRPr="00CB2EEC">
              <w:rPr>
                <w:rFonts w:ascii="Calibri" w:eastAsia="Times New Roman" w:hAnsi="Calibri" w:cs="Calibri"/>
                <w:color w:val="000000"/>
                <w:sz w:val="20"/>
                <w:szCs w:val="20"/>
                <w:lang w:eastAsia="sk-SK"/>
              </w:rPr>
              <w:t>1</w:t>
            </w:r>
          </w:p>
        </w:tc>
        <w:tc>
          <w:tcPr>
            <w:tcW w:w="1143" w:type="dxa"/>
            <w:tcBorders>
              <w:top w:val="nil"/>
              <w:left w:val="nil"/>
              <w:bottom w:val="single" w:sz="4" w:space="0" w:color="auto"/>
              <w:right w:val="single" w:sz="4" w:space="0" w:color="auto"/>
            </w:tcBorders>
            <w:shd w:val="clear" w:color="auto" w:fill="auto"/>
            <w:noWrap/>
            <w:vAlign w:val="bottom"/>
            <w:hideMark/>
          </w:tcPr>
          <w:p w14:paraId="09C69F48" w14:textId="77777777" w:rsidR="002B705C" w:rsidRPr="00CB2EEC" w:rsidRDefault="002B705C" w:rsidP="002670CE">
            <w:pPr>
              <w:spacing w:after="0" w:line="240" w:lineRule="auto"/>
              <w:jc w:val="right"/>
              <w:rPr>
                <w:rFonts w:ascii="Calibri" w:eastAsia="Times New Roman" w:hAnsi="Calibri" w:cs="Calibri"/>
                <w:color w:val="000000"/>
                <w:lang w:eastAsia="sk-SK"/>
              </w:rPr>
            </w:pPr>
            <w:r w:rsidRPr="00CB2EEC">
              <w:rPr>
                <w:rFonts w:ascii="Calibri" w:eastAsia="Times New Roman" w:hAnsi="Calibri" w:cs="Calibri"/>
                <w:color w:val="000000"/>
                <w:lang w:eastAsia="sk-SK"/>
              </w:rPr>
              <w:t>2</w:t>
            </w:r>
          </w:p>
        </w:tc>
        <w:tc>
          <w:tcPr>
            <w:tcW w:w="1253" w:type="dxa"/>
            <w:tcBorders>
              <w:top w:val="nil"/>
              <w:left w:val="nil"/>
              <w:bottom w:val="single" w:sz="4" w:space="0" w:color="auto"/>
              <w:right w:val="single" w:sz="4" w:space="0" w:color="auto"/>
            </w:tcBorders>
            <w:shd w:val="clear" w:color="000000" w:fill="D9E1F2"/>
            <w:noWrap/>
            <w:vAlign w:val="bottom"/>
            <w:hideMark/>
          </w:tcPr>
          <w:p w14:paraId="23D935EC" w14:textId="77777777" w:rsidR="002B705C" w:rsidRPr="00CB2EEC" w:rsidRDefault="002B705C" w:rsidP="002670CE">
            <w:pPr>
              <w:spacing w:after="0" w:line="240" w:lineRule="auto"/>
              <w:jc w:val="right"/>
              <w:rPr>
                <w:rFonts w:ascii="Calibri" w:eastAsia="Times New Roman" w:hAnsi="Calibri" w:cs="Calibri"/>
                <w:color w:val="000000"/>
                <w:lang w:eastAsia="sk-SK"/>
              </w:rPr>
            </w:pPr>
            <w:r w:rsidRPr="00CB2EEC">
              <w:rPr>
                <w:rFonts w:ascii="Calibri" w:eastAsia="Times New Roman" w:hAnsi="Calibri" w:cs="Calibri"/>
                <w:color w:val="000000"/>
                <w:lang w:eastAsia="sk-SK"/>
              </w:rPr>
              <w:t>1,5</w:t>
            </w:r>
          </w:p>
        </w:tc>
      </w:tr>
      <w:tr w:rsidR="002B705C" w:rsidRPr="00CB2EEC" w14:paraId="239EA10B" w14:textId="77777777" w:rsidTr="002670CE">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D1ADC07" w14:textId="77777777" w:rsidR="002B705C" w:rsidRPr="00CB2EEC" w:rsidRDefault="002B705C" w:rsidP="002670CE">
            <w:pPr>
              <w:spacing w:after="0" w:line="240" w:lineRule="auto"/>
              <w:rPr>
                <w:rFonts w:ascii="Calibri" w:eastAsia="Times New Roman" w:hAnsi="Calibri" w:cs="Calibri"/>
                <w:b/>
                <w:bCs/>
                <w:color w:val="000000"/>
                <w:sz w:val="20"/>
                <w:szCs w:val="20"/>
                <w:lang w:eastAsia="sk-SK"/>
              </w:rPr>
            </w:pPr>
            <w:r w:rsidRPr="00CB2EEC">
              <w:rPr>
                <w:rFonts w:ascii="Calibri" w:eastAsia="Times New Roman" w:hAnsi="Calibri" w:cs="Calibri"/>
                <w:b/>
                <w:bCs/>
                <w:color w:val="000000"/>
                <w:sz w:val="20"/>
                <w:szCs w:val="20"/>
                <w:lang w:eastAsia="sk-SK"/>
              </w:rPr>
              <w:t>9. Lyžovanie</w:t>
            </w:r>
          </w:p>
        </w:tc>
        <w:tc>
          <w:tcPr>
            <w:tcW w:w="640" w:type="dxa"/>
            <w:tcBorders>
              <w:top w:val="nil"/>
              <w:left w:val="nil"/>
              <w:bottom w:val="single" w:sz="4" w:space="0" w:color="auto"/>
              <w:right w:val="single" w:sz="4" w:space="0" w:color="auto"/>
            </w:tcBorders>
            <w:shd w:val="clear" w:color="auto" w:fill="auto"/>
            <w:noWrap/>
            <w:vAlign w:val="center"/>
            <w:hideMark/>
          </w:tcPr>
          <w:p w14:paraId="7A77CCE9" w14:textId="77777777" w:rsidR="002B705C" w:rsidRPr="00CB2EEC" w:rsidRDefault="002B705C" w:rsidP="002670CE">
            <w:pPr>
              <w:spacing w:after="0" w:line="240" w:lineRule="auto"/>
              <w:jc w:val="center"/>
              <w:rPr>
                <w:rFonts w:ascii="Calibri" w:eastAsia="Times New Roman" w:hAnsi="Calibri" w:cs="Calibri"/>
                <w:color w:val="000000"/>
                <w:sz w:val="20"/>
                <w:szCs w:val="20"/>
                <w:lang w:eastAsia="sk-SK"/>
              </w:rPr>
            </w:pPr>
            <w:r w:rsidRPr="00CB2EEC">
              <w:rPr>
                <w:rFonts w:ascii="Calibri" w:eastAsia="Times New Roman" w:hAnsi="Calibri" w:cs="Calibri"/>
                <w:color w:val="000000"/>
                <w:sz w:val="20"/>
                <w:szCs w:val="20"/>
                <w:lang w:eastAsia="sk-SK"/>
              </w:rPr>
              <w:t>9.1</w:t>
            </w:r>
          </w:p>
        </w:tc>
        <w:tc>
          <w:tcPr>
            <w:tcW w:w="1911" w:type="dxa"/>
            <w:tcBorders>
              <w:top w:val="nil"/>
              <w:left w:val="nil"/>
              <w:bottom w:val="single" w:sz="4" w:space="0" w:color="auto"/>
              <w:right w:val="nil"/>
            </w:tcBorders>
            <w:shd w:val="clear" w:color="auto" w:fill="auto"/>
            <w:noWrap/>
            <w:vAlign w:val="bottom"/>
            <w:hideMark/>
          </w:tcPr>
          <w:p w14:paraId="60FCF4B6" w14:textId="77777777" w:rsidR="002B705C" w:rsidRPr="00CB2EEC" w:rsidRDefault="002B705C" w:rsidP="002670CE">
            <w:pPr>
              <w:spacing w:after="0" w:line="240" w:lineRule="auto"/>
              <w:rPr>
                <w:rFonts w:ascii="Calibri" w:eastAsia="Times New Roman" w:hAnsi="Calibri" w:cs="Calibri"/>
                <w:color w:val="000000"/>
                <w:sz w:val="20"/>
                <w:szCs w:val="20"/>
                <w:lang w:eastAsia="sk-SK"/>
              </w:rPr>
            </w:pPr>
            <w:r w:rsidRPr="00CB2EEC">
              <w:rPr>
                <w:rFonts w:ascii="Calibri" w:eastAsia="Times New Roman" w:hAnsi="Calibri" w:cs="Calibri"/>
                <w:color w:val="000000"/>
                <w:sz w:val="20"/>
                <w:szCs w:val="20"/>
                <w:lang w:eastAsia="sk-SK"/>
              </w:rPr>
              <w:t>Zjazdové lyžovanie</w:t>
            </w:r>
          </w:p>
        </w:tc>
        <w:tc>
          <w:tcPr>
            <w:tcW w:w="1701" w:type="dxa"/>
            <w:tcBorders>
              <w:top w:val="nil"/>
              <w:left w:val="single" w:sz="8" w:space="0" w:color="auto"/>
              <w:bottom w:val="single" w:sz="4" w:space="0" w:color="auto"/>
              <w:right w:val="single" w:sz="4" w:space="0" w:color="auto"/>
            </w:tcBorders>
            <w:shd w:val="clear" w:color="auto" w:fill="auto"/>
            <w:noWrap/>
            <w:vAlign w:val="center"/>
            <w:hideMark/>
          </w:tcPr>
          <w:p w14:paraId="6344E3E0" w14:textId="77777777" w:rsidR="002B705C" w:rsidRPr="00CB2EEC" w:rsidRDefault="002B705C" w:rsidP="002670CE">
            <w:pPr>
              <w:spacing w:after="0" w:line="240" w:lineRule="auto"/>
              <w:rPr>
                <w:rFonts w:ascii="Calibri" w:eastAsia="Times New Roman" w:hAnsi="Calibri" w:cs="Calibri"/>
                <w:b/>
                <w:bCs/>
                <w:color w:val="FF0000"/>
                <w:sz w:val="20"/>
                <w:szCs w:val="20"/>
                <w:lang w:eastAsia="sk-SK"/>
              </w:rPr>
            </w:pPr>
            <w:r w:rsidRPr="00CB2EEC">
              <w:rPr>
                <w:rFonts w:ascii="Calibri" w:eastAsia="Times New Roman" w:hAnsi="Calibri" w:cs="Calibri"/>
                <w:b/>
                <w:bCs/>
                <w:color w:val="FF0000"/>
                <w:sz w:val="20"/>
                <w:szCs w:val="20"/>
                <w:lang w:eastAsia="sk-SK"/>
              </w:rPr>
              <w:t xml:space="preserve">N, </w:t>
            </w:r>
            <w:r w:rsidRPr="00CB2EEC">
              <w:rPr>
                <w:rFonts w:ascii="Calibri" w:eastAsia="Times New Roman" w:hAnsi="Calibri" w:cs="Calibri"/>
                <w:b/>
                <w:bCs/>
                <w:color w:val="ED7D31"/>
                <w:sz w:val="20"/>
                <w:szCs w:val="20"/>
                <w:lang w:eastAsia="sk-SK"/>
              </w:rPr>
              <w:t>Q, R</w:t>
            </w:r>
          </w:p>
        </w:tc>
        <w:tc>
          <w:tcPr>
            <w:tcW w:w="567" w:type="dxa"/>
            <w:tcBorders>
              <w:top w:val="nil"/>
              <w:left w:val="nil"/>
              <w:bottom w:val="single" w:sz="4" w:space="0" w:color="auto"/>
              <w:right w:val="single" w:sz="8" w:space="0" w:color="auto"/>
            </w:tcBorders>
            <w:shd w:val="clear" w:color="000000" w:fill="FF0000"/>
            <w:noWrap/>
            <w:vAlign w:val="bottom"/>
            <w:hideMark/>
          </w:tcPr>
          <w:p w14:paraId="64E6E895" w14:textId="77777777" w:rsidR="002B705C" w:rsidRPr="00CB2EEC" w:rsidRDefault="002B705C" w:rsidP="002670CE">
            <w:pPr>
              <w:spacing w:after="0" w:line="240" w:lineRule="auto"/>
              <w:jc w:val="right"/>
              <w:rPr>
                <w:rFonts w:ascii="Calibri" w:eastAsia="Times New Roman" w:hAnsi="Calibri" w:cs="Calibri"/>
                <w:b/>
                <w:bCs/>
                <w:color w:val="000000"/>
                <w:sz w:val="20"/>
                <w:szCs w:val="20"/>
                <w:lang w:eastAsia="sk-SK"/>
              </w:rPr>
            </w:pPr>
            <w:r w:rsidRPr="00CB2EEC">
              <w:rPr>
                <w:rFonts w:ascii="Calibri" w:eastAsia="Times New Roman" w:hAnsi="Calibri" w:cs="Calibri"/>
                <w:b/>
                <w:bCs/>
                <w:color w:val="000000"/>
                <w:sz w:val="20"/>
                <w:szCs w:val="20"/>
                <w:lang w:eastAsia="sk-SK"/>
              </w:rPr>
              <w:t>2</w:t>
            </w:r>
          </w:p>
        </w:tc>
        <w:tc>
          <w:tcPr>
            <w:tcW w:w="992" w:type="dxa"/>
            <w:tcBorders>
              <w:top w:val="nil"/>
              <w:left w:val="nil"/>
              <w:bottom w:val="single" w:sz="4" w:space="0" w:color="auto"/>
              <w:right w:val="single" w:sz="4" w:space="0" w:color="auto"/>
            </w:tcBorders>
            <w:shd w:val="clear" w:color="auto" w:fill="auto"/>
            <w:noWrap/>
            <w:vAlign w:val="bottom"/>
            <w:hideMark/>
          </w:tcPr>
          <w:p w14:paraId="09757EAA" w14:textId="77777777" w:rsidR="002B705C" w:rsidRPr="00CB2EEC" w:rsidRDefault="002B705C" w:rsidP="002670CE">
            <w:pPr>
              <w:spacing w:after="0" w:line="240" w:lineRule="auto"/>
              <w:jc w:val="right"/>
              <w:rPr>
                <w:rFonts w:ascii="Calibri" w:eastAsia="Times New Roman" w:hAnsi="Calibri" w:cs="Calibri"/>
                <w:color w:val="000000"/>
                <w:sz w:val="20"/>
                <w:szCs w:val="20"/>
                <w:lang w:eastAsia="sk-SK"/>
              </w:rPr>
            </w:pPr>
            <w:r w:rsidRPr="00CB2EEC">
              <w:rPr>
                <w:rFonts w:ascii="Calibri" w:eastAsia="Times New Roman" w:hAnsi="Calibri" w:cs="Calibri"/>
                <w:color w:val="000000"/>
                <w:sz w:val="20"/>
                <w:szCs w:val="20"/>
                <w:lang w:eastAsia="sk-SK"/>
              </w:rPr>
              <w:t>3</w:t>
            </w:r>
          </w:p>
        </w:tc>
        <w:tc>
          <w:tcPr>
            <w:tcW w:w="1143" w:type="dxa"/>
            <w:tcBorders>
              <w:top w:val="nil"/>
              <w:left w:val="nil"/>
              <w:bottom w:val="single" w:sz="4" w:space="0" w:color="auto"/>
              <w:right w:val="single" w:sz="4" w:space="0" w:color="auto"/>
            </w:tcBorders>
            <w:shd w:val="clear" w:color="auto" w:fill="auto"/>
            <w:noWrap/>
            <w:vAlign w:val="bottom"/>
            <w:hideMark/>
          </w:tcPr>
          <w:p w14:paraId="7B88EDC3" w14:textId="77777777" w:rsidR="002B705C" w:rsidRPr="00CB2EEC" w:rsidRDefault="002B705C" w:rsidP="002670CE">
            <w:pPr>
              <w:spacing w:after="0" w:line="240" w:lineRule="auto"/>
              <w:jc w:val="right"/>
              <w:rPr>
                <w:rFonts w:ascii="Calibri" w:eastAsia="Times New Roman" w:hAnsi="Calibri" w:cs="Calibri"/>
                <w:color w:val="000000"/>
                <w:lang w:eastAsia="sk-SK"/>
              </w:rPr>
            </w:pPr>
            <w:r w:rsidRPr="00CB2EEC">
              <w:rPr>
                <w:rFonts w:ascii="Calibri" w:eastAsia="Times New Roman" w:hAnsi="Calibri" w:cs="Calibri"/>
                <w:color w:val="000000"/>
                <w:lang w:eastAsia="sk-SK"/>
              </w:rPr>
              <w:t>3</w:t>
            </w:r>
          </w:p>
        </w:tc>
        <w:tc>
          <w:tcPr>
            <w:tcW w:w="1253" w:type="dxa"/>
            <w:tcBorders>
              <w:top w:val="nil"/>
              <w:left w:val="nil"/>
              <w:bottom w:val="single" w:sz="4" w:space="0" w:color="auto"/>
              <w:right w:val="single" w:sz="4" w:space="0" w:color="auto"/>
            </w:tcBorders>
            <w:shd w:val="clear" w:color="000000" w:fill="305496"/>
            <w:noWrap/>
            <w:vAlign w:val="bottom"/>
            <w:hideMark/>
          </w:tcPr>
          <w:p w14:paraId="4F163FE9" w14:textId="77777777" w:rsidR="002B705C" w:rsidRPr="00CB2EEC" w:rsidRDefault="002B705C" w:rsidP="002670CE">
            <w:pPr>
              <w:spacing w:after="0" w:line="240" w:lineRule="auto"/>
              <w:jc w:val="right"/>
              <w:rPr>
                <w:rFonts w:ascii="Calibri" w:eastAsia="Times New Roman" w:hAnsi="Calibri" w:cs="Calibri"/>
                <w:color w:val="000000"/>
                <w:lang w:eastAsia="sk-SK"/>
              </w:rPr>
            </w:pPr>
            <w:r w:rsidRPr="00CB2EEC">
              <w:rPr>
                <w:rFonts w:ascii="Calibri" w:eastAsia="Times New Roman" w:hAnsi="Calibri" w:cs="Calibri"/>
                <w:color w:val="000000"/>
                <w:lang w:eastAsia="sk-SK"/>
              </w:rPr>
              <w:t>3,0</w:t>
            </w:r>
          </w:p>
        </w:tc>
      </w:tr>
      <w:tr w:rsidR="002B705C" w:rsidRPr="00CB2EEC" w14:paraId="25850B57" w14:textId="77777777" w:rsidTr="002670CE">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794DCD8" w14:textId="77777777" w:rsidR="002B705C" w:rsidRPr="00CB2EEC" w:rsidRDefault="002B705C" w:rsidP="002670CE">
            <w:pPr>
              <w:spacing w:after="0" w:line="240" w:lineRule="auto"/>
              <w:rPr>
                <w:rFonts w:ascii="Calibri" w:eastAsia="Times New Roman" w:hAnsi="Calibri" w:cs="Calibri"/>
                <w:b/>
                <w:bCs/>
                <w:color w:val="000000"/>
                <w:sz w:val="20"/>
                <w:szCs w:val="20"/>
                <w:lang w:eastAsia="sk-SK"/>
              </w:rPr>
            </w:pPr>
            <w:r w:rsidRPr="00CB2EEC">
              <w:rPr>
                <w:rFonts w:ascii="Calibri" w:eastAsia="Times New Roman" w:hAnsi="Calibri" w:cs="Calibri"/>
                <w:b/>
                <w:bCs/>
                <w:color w:val="000000"/>
                <w:sz w:val="20"/>
                <w:szCs w:val="20"/>
                <w:lang w:eastAsia="sk-SK"/>
              </w:rPr>
              <w:t> </w:t>
            </w:r>
          </w:p>
        </w:tc>
        <w:tc>
          <w:tcPr>
            <w:tcW w:w="640" w:type="dxa"/>
            <w:tcBorders>
              <w:top w:val="nil"/>
              <w:left w:val="nil"/>
              <w:bottom w:val="single" w:sz="4" w:space="0" w:color="auto"/>
              <w:right w:val="single" w:sz="4" w:space="0" w:color="auto"/>
            </w:tcBorders>
            <w:shd w:val="clear" w:color="auto" w:fill="auto"/>
            <w:noWrap/>
            <w:vAlign w:val="center"/>
            <w:hideMark/>
          </w:tcPr>
          <w:p w14:paraId="44E906A3" w14:textId="77777777" w:rsidR="002B705C" w:rsidRPr="00CB2EEC" w:rsidRDefault="002B705C" w:rsidP="002670CE">
            <w:pPr>
              <w:spacing w:after="0" w:line="240" w:lineRule="auto"/>
              <w:jc w:val="center"/>
              <w:rPr>
                <w:rFonts w:ascii="Calibri" w:eastAsia="Times New Roman" w:hAnsi="Calibri" w:cs="Calibri"/>
                <w:color w:val="000000"/>
                <w:sz w:val="20"/>
                <w:szCs w:val="20"/>
                <w:lang w:eastAsia="sk-SK"/>
              </w:rPr>
            </w:pPr>
            <w:r w:rsidRPr="00CB2EEC">
              <w:rPr>
                <w:rFonts w:ascii="Calibri" w:eastAsia="Times New Roman" w:hAnsi="Calibri" w:cs="Calibri"/>
                <w:color w:val="000000"/>
                <w:sz w:val="20"/>
                <w:szCs w:val="20"/>
                <w:lang w:eastAsia="sk-SK"/>
              </w:rPr>
              <w:t>9.2</w:t>
            </w:r>
          </w:p>
        </w:tc>
        <w:tc>
          <w:tcPr>
            <w:tcW w:w="1911" w:type="dxa"/>
            <w:tcBorders>
              <w:top w:val="nil"/>
              <w:left w:val="nil"/>
              <w:bottom w:val="single" w:sz="4" w:space="0" w:color="auto"/>
              <w:right w:val="nil"/>
            </w:tcBorders>
            <w:shd w:val="clear" w:color="auto" w:fill="auto"/>
            <w:noWrap/>
            <w:vAlign w:val="bottom"/>
            <w:hideMark/>
          </w:tcPr>
          <w:p w14:paraId="3AB06F96" w14:textId="77777777" w:rsidR="002B705C" w:rsidRPr="00CB2EEC" w:rsidRDefault="002B705C" w:rsidP="002670CE">
            <w:pPr>
              <w:spacing w:after="0" w:line="240" w:lineRule="auto"/>
              <w:rPr>
                <w:rFonts w:ascii="Calibri" w:eastAsia="Times New Roman" w:hAnsi="Calibri" w:cs="Calibri"/>
                <w:color w:val="000000"/>
                <w:sz w:val="20"/>
                <w:szCs w:val="20"/>
                <w:lang w:eastAsia="sk-SK"/>
              </w:rPr>
            </w:pPr>
            <w:r w:rsidRPr="00CB2EEC">
              <w:rPr>
                <w:rFonts w:ascii="Calibri" w:eastAsia="Times New Roman" w:hAnsi="Calibri" w:cs="Calibri"/>
                <w:color w:val="000000"/>
                <w:sz w:val="20"/>
                <w:szCs w:val="20"/>
                <w:lang w:eastAsia="sk-SK"/>
              </w:rPr>
              <w:t>Bežecké lyžovanie</w:t>
            </w:r>
          </w:p>
        </w:tc>
        <w:tc>
          <w:tcPr>
            <w:tcW w:w="1701" w:type="dxa"/>
            <w:tcBorders>
              <w:top w:val="nil"/>
              <w:left w:val="single" w:sz="8" w:space="0" w:color="auto"/>
              <w:bottom w:val="single" w:sz="4" w:space="0" w:color="auto"/>
              <w:right w:val="single" w:sz="4" w:space="0" w:color="auto"/>
            </w:tcBorders>
            <w:shd w:val="clear" w:color="auto" w:fill="auto"/>
            <w:noWrap/>
            <w:vAlign w:val="center"/>
            <w:hideMark/>
          </w:tcPr>
          <w:p w14:paraId="1DB59533" w14:textId="77777777" w:rsidR="002B705C" w:rsidRPr="00CB2EEC" w:rsidRDefault="002B705C" w:rsidP="002670CE">
            <w:pPr>
              <w:spacing w:after="0" w:line="240" w:lineRule="auto"/>
              <w:rPr>
                <w:rFonts w:ascii="Calibri" w:eastAsia="Times New Roman" w:hAnsi="Calibri" w:cs="Calibri"/>
                <w:b/>
                <w:bCs/>
                <w:color w:val="FF0000"/>
                <w:sz w:val="20"/>
                <w:szCs w:val="20"/>
                <w:lang w:eastAsia="sk-SK"/>
              </w:rPr>
            </w:pPr>
            <w:r w:rsidRPr="00CB2EEC">
              <w:rPr>
                <w:rFonts w:ascii="Calibri" w:eastAsia="Times New Roman" w:hAnsi="Calibri" w:cs="Calibri"/>
                <w:b/>
                <w:bCs/>
                <w:color w:val="FF0000"/>
                <w:sz w:val="20"/>
                <w:szCs w:val="20"/>
                <w:lang w:eastAsia="sk-SK"/>
              </w:rPr>
              <w:t xml:space="preserve">O, Q, </w:t>
            </w:r>
            <w:r w:rsidRPr="00CB2EEC">
              <w:rPr>
                <w:rFonts w:ascii="Calibri" w:eastAsia="Times New Roman" w:hAnsi="Calibri" w:cs="Calibri"/>
                <w:b/>
                <w:bCs/>
                <w:color w:val="ED7D31"/>
                <w:sz w:val="20"/>
                <w:szCs w:val="20"/>
                <w:lang w:eastAsia="sk-SK"/>
              </w:rPr>
              <w:t>R</w:t>
            </w:r>
          </w:p>
        </w:tc>
        <w:tc>
          <w:tcPr>
            <w:tcW w:w="567" w:type="dxa"/>
            <w:tcBorders>
              <w:top w:val="nil"/>
              <w:left w:val="nil"/>
              <w:bottom w:val="single" w:sz="4" w:space="0" w:color="auto"/>
              <w:right w:val="single" w:sz="8" w:space="0" w:color="auto"/>
            </w:tcBorders>
            <w:shd w:val="clear" w:color="000000" w:fill="FF0000"/>
            <w:noWrap/>
            <w:vAlign w:val="bottom"/>
            <w:hideMark/>
          </w:tcPr>
          <w:p w14:paraId="5A2998D9" w14:textId="77777777" w:rsidR="002B705C" w:rsidRPr="00CB2EEC" w:rsidRDefault="002B705C" w:rsidP="002670CE">
            <w:pPr>
              <w:spacing w:after="0" w:line="240" w:lineRule="auto"/>
              <w:jc w:val="right"/>
              <w:rPr>
                <w:rFonts w:ascii="Calibri" w:eastAsia="Times New Roman" w:hAnsi="Calibri" w:cs="Calibri"/>
                <w:b/>
                <w:bCs/>
                <w:color w:val="000000"/>
                <w:sz w:val="20"/>
                <w:szCs w:val="20"/>
                <w:lang w:eastAsia="sk-SK"/>
              </w:rPr>
            </w:pPr>
            <w:r w:rsidRPr="00CB2EEC">
              <w:rPr>
                <w:rFonts w:ascii="Calibri" w:eastAsia="Times New Roman" w:hAnsi="Calibri" w:cs="Calibri"/>
                <w:b/>
                <w:bCs/>
                <w:color w:val="000000"/>
                <w:sz w:val="20"/>
                <w:szCs w:val="20"/>
                <w:lang w:eastAsia="sk-SK"/>
              </w:rPr>
              <w:t>2</w:t>
            </w:r>
          </w:p>
        </w:tc>
        <w:tc>
          <w:tcPr>
            <w:tcW w:w="992" w:type="dxa"/>
            <w:tcBorders>
              <w:top w:val="nil"/>
              <w:left w:val="nil"/>
              <w:bottom w:val="single" w:sz="4" w:space="0" w:color="auto"/>
              <w:right w:val="single" w:sz="4" w:space="0" w:color="auto"/>
            </w:tcBorders>
            <w:shd w:val="clear" w:color="auto" w:fill="auto"/>
            <w:noWrap/>
            <w:vAlign w:val="bottom"/>
            <w:hideMark/>
          </w:tcPr>
          <w:p w14:paraId="08D99613" w14:textId="77777777" w:rsidR="002B705C" w:rsidRPr="00CB2EEC" w:rsidRDefault="002B705C" w:rsidP="002670CE">
            <w:pPr>
              <w:spacing w:after="0" w:line="240" w:lineRule="auto"/>
              <w:jc w:val="right"/>
              <w:rPr>
                <w:rFonts w:ascii="Calibri" w:eastAsia="Times New Roman" w:hAnsi="Calibri" w:cs="Calibri"/>
                <w:color w:val="000000"/>
                <w:sz w:val="20"/>
                <w:szCs w:val="20"/>
                <w:lang w:eastAsia="sk-SK"/>
              </w:rPr>
            </w:pPr>
            <w:r w:rsidRPr="00CB2EEC">
              <w:rPr>
                <w:rFonts w:ascii="Calibri" w:eastAsia="Times New Roman" w:hAnsi="Calibri" w:cs="Calibri"/>
                <w:color w:val="000000"/>
                <w:sz w:val="20"/>
                <w:szCs w:val="20"/>
                <w:lang w:eastAsia="sk-SK"/>
              </w:rPr>
              <w:t>3</w:t>
            </w:r>
          </w:p>
        </w:tc>
        <w:tc>
          <w:tcPr>
            <w:tcW w:w="1143" w:type="dxa"/>
            <w:tcBorders>
              <w:top w:val="nil"/>
              <w:left w:val="nil"/>
              <w:bottom w:val="single" w:sz="4" w:space="0" w:color="auto"/>
              <w:right w:val="single" w:sz="4" w:space="0" w:color="auto"/>
            </w:tcBorders>
            <w:shd w:val="clear" w:color="auto" w:fill="auto"/>
            <w:noWrap/>
            <w:vAlign w:val="bottom"/>
            <w:hideMark/>
          </w:tcPr>
          <w:p w14:paraId="1E5F1731" w14:textId="77777777" w:rsidR="002B705C" w:rsidRPr="00CB2EEC" w:rsidRDefault="002B705C" w:rsidP="002670CE">
            <w:pPr>
              <w:spacing w:after="0" w:line="240" w:lineRule="auto"/>
              <w:jc w:val="right"/>
              <w:rPr>
                <w:rFonts w:ascii="Calibri" w:eastAsia="Times New Roman" w:hAnsi="Calibri" w:cs="Calibri"/>
                <w:color w:val="000000"/>
                <w:lang w:eastAsia="sk-SK"/>
              </w:rPr>
            </w:pPr>
            <w:r w:rsidRPr="00CB2EEC">
              <w:rPr>
                <w:rFonts w:ascii="Calibri" w:eastAsia="Times New Roman" w:hAnsi="Calibri" w:cs="Calibri"/>
                <w:color w:val="000000"/>
                <w:lang w:eastAsia="sk-SK"/>
              </w:rPr>
              <w:t>1</w:t>
            </w:r>
          </w:p>
        </w:tc>
        <w:tc>
          <w:tcPr>
            <w:tcW w:w="1253" w:type="dxa"/>
            <w:tcBorders>
              <w:top w:val="nil"/>
              <w:left w:val="nil"/>
              <w:bottom w:val="single" w:sz="4" w:space="0" w:color="auto"/>
              <w:right w:val="single" w:sz="4" w:space="0" w:color="auto"/>
            </w:tcBorders>
            <w:shd w:val="clear" w:color="000000" w:fill="8EA9DB"/>
            <w:noWrap/>
            <w:vAlign w:val="bottom"/>
            <w:hideMark/>
          </w:tcPr>
          <w:p w14:paraId="410986CC" w14:textId="77777777" w:rsidR="002B705C" w:rsidRPr="00CB2EEC" w:rsidRDefault="002B705C" w:rsidP="002670CE">
            <w:pPr>
              <w:spacing w:after="0" w:line="240" w:lineRule="auto"/>
              <w:jc w:val="right"/>
              <w:rPr>
                <w:rFonts w:ascii="Calibri" w:eastAsia="Times New Roman" w:hAnsi="Calibri" w:cs="Calibri"/>
                <w:color w:val="000000"/>
                <w:lang w:eastAsia="sk-SK"/>
              </w:rPr>
            </w:pPr>
            <w:r w:rsidRPr="00CB2EEC">
              <w:rPr>
                <w:rFonts w:ascii="Calibri" w:eastAsia="Times New Roman" w:hAnsi="Calibri" w:cs="Calibri"/>
                <w:color w:val="000000"/>
                <w:lang w:eastAsia="sk-SK"/>
              </w:rPr>
              <w:t>2,0</w:t>
            </w:r>
          </w:p>
        </w:tc>
      </w:tr>
      <w:tr w:rsidR="002B705C" w:rsidRPr="00CB2EEC" w14:paraId="5BF207EE" w14:textId="77777777" w:rsidTr="002670CE">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C10CA2A" w14:textId="77777777" w:rsidR="002B705C" w:rsidRPr="00CB2EEC" w:rsidRDefault="002B705C" w:rsidP="002670CE">
            <w:pPr>
              <w:spacing w:after="0" w:line="240" w:lineRule="auto"/>
              <w:rPr>
                <w:rFonts w:ascii="Calibri" w:eastAsia="Times New Roman" w:hAnsi="Calibri" w:cs="Calibri"/>
                <w:b/>
                <w:bCs/>
                <w:color w:val="000000"/>
                <w:sz w:val="20"/>
                <w:szCs w:val="20"/>
                <w:lang w:eastAsia="sk-SK"/>
              </w:rPr>
            </w:pPr>
            <w:r w:rsidRPr="00CB2EEC">
              <w:rPr>
                <w:rFonts w:ascii="Calibri" w:eastAsia="Times New Roman" w:hAnsi="Calibri" w:cs="Calibri"/>
                <w:b/>
                <w:bCs/>
                <w:color w:val="000000"/>
                <w:sz w:val="20"/>
                <w:szCs w:val="20"/>
                <w:lang w:eastAsia="sk-SK"/>
              </w:rPr>
              <w:t>10. Ľadolezenie</w:t>
            </w:r>
          </w:p>
        </w:tc>
        <w:tc>
          <w:tcPr>
            <w:tcW w:w="640" w:type="dxa"/>
            <w:tcBorders>
              <w:top w:val="nil"/>
              <w:left w:val="nil"/>
              <w:bottom w:val="single" w:sz="4" w:space="0" w:color="auto"/>
              <w:right w:val="single" w:sz="4" w:space="0" w:color="auto"/>
            </w:tcBorders>
            <w:shd w:val="clear" w:color="auto" w:fill="auto"/>
            <w:noWrap/>
            <w:vAlign w:val="center"/>
            <w:hideMark/>
          </w:tcPr>
          <w:p w14:paraId="2B28AAFD" w14:textId="77777777" w:rsidR="002B705C" w:rsidRPr="00CB2EEC" w:rsidRDefault="002B705C" w:rsidP="002670CE">
            <w:pPr>
              <w:spacing w:after="0" w:line="240" w:lineRule="auto"/>
              <w:jc w:val="center"/>
              <w:rPr>
                <w:rFonts w:ascii="Calibri" w:eastAsia="Times New Roman" w:hAnsi="Calibri" w:cs="Calibri"/>
                <w:color w:val="000000"/>
                <w:sz w:val="20"/>
                <w:szCs w:val="20"/>
                <w:lang w:eastAsia="sk-SK"/>
              </w:rPr>
            </w:pPr>
            <w:r w:rsidRPr="00CB2EEC">
              <w:rPr>
                <w:rFonts w:ascii="Calibri" w:eastAsia="Times New Roman" w:hAnsi="Calibri" w:cs="Calibri"/>
                <w:color w:val="000000"/>
                <w:sz w:val="20"/>
                <w:szCs w:val="20"/>
                <w:lang w:eastAsia="sk-SK"/>
              </w:rPr>
              <w:t> </w:t>
            </w:r>
          </w:p>
        </w:tc>
        <w:tc>
          <w:tcPr>
            <w:tcW w:w="1911" w:type="dxa"/>
            <w:tcBorders>
              <w:top w:val="nil"/>
              <w:left w:val="nil"/>
              <w:bottom w:val="single" w:sz="4" w:space="0" w:color="auto"/>
              <w:right w:val="nil"/>
            </w:tcBorders>
            <w:shd w:val="clear" w:color="auto" w:fill="auto"/>
            <w:noWrap/>
            <w:vAlign w:val="bottom"/>
            <w:hideMark/>
          </w:tcPr>
          <w:p w14:paraId="52347DF5" w14:textId="77777777" w:rsidR="002B705C" w:rsidRPr="00CB2EEC" w:rsidRDefault="002B705C" w:rsidP="002670CE">
            <w:pPr>
              <w:spacing w:after="0" w:line="240" w:lineRule="auto"/>
              <w:rPr>
                <w:rFonts w:ascii="Calibri" w:eastAsia="Times New Roman" w:hAnsi="Calibri" w:cs="Calibri"/>
                <w:color w:val="000000"/>
                <w:sz w:val="20"/>
                <w:szCs w:val="20"/>
                <w:lang w:eastAsia="sk-SK"/>
              </w:rPr>
            </w:pPr>
            <w:r w:rsidRPr="00CB2EEC">
              <w:rPr>
                <w:rFonts w:ascii="Calibri" w:eastAsia="Times New Roman" w:hAnsi="Calibri" w:cs="Calibri"/>
                <w:color w:val="000000"/>
                <w:sz w:val="20"/>
                <w:szCs w:val="20"/>
                <w:lang w:eastAsia="sk-SK"/>
              </w:rPr>
              <w:t> </w:t>
            </w:r>
          </w:p>
        </w:tc>
        <w:tc>
          <w:tcPr>
            <w:tcW w:w="1701" w:type="dxa"/>
            <w:tcBorders>
              <w:top w:val="nil"/>
              <w:left w:val="single" w:sz="8" w:space="0" w:color="auto"/>
              <w:bottom w:val="single" w:sz="8" w:space="0" w:color="auto"/>
              <w:right w:val="single" w:sz="4" w:space="0" w:color="auto"/>
            </w:tcBorders>
            <w:shd w:val="clear" w:color="auto" w:fill="auto"/>
            <w:noWrap/>
            <w:vAlign w:val="center"/>
            <w:hideMark/>
          </w:tcPr>
          <w:p w14:paraId="42D0F5DF" w14:textId="77777777" w:rsidR="002B705C" w:rsidRPr="00CB2EEC" w:rsidRDefault="002B705C" w:rsidP="002670CE">
            <w:pPr>
              <w:spacing w:after="0" w:line="240" w:lineRule="auto"/>
              <w:rPr>
                <w:rFonts w:ascii="Calibri" w:eastAsia="Times New Roman" w:hAnsi="Calibri" w:cs="Calibri"/>
                <w:b/>
                <w:bCs/>
                <w:color w:val="FF0000"/>
                <w:sz w:val="20"/>
                <w:szCs w:val="20"/>
                <w:lang w:eastAsia="sk-SK"/>
              </w:rPr>
            </w:pPr>
            <w:r w:rsidRPr="00CB2EEC">
              <w:rPr>
                <w:rFonts w:ascii="Calibri" w:eastAsia="Times New Roman" w:hAnsi="Calibri" w:cs="Calibri"/>
                <w:b/>
                <w:bCs/>
                <w:color w:val="FF0000"/>
                <w:sz w:val="20"/>
                <w:szCs w:val="20"/>
                <w:lang w:eastAsia="sk-SK"/>
              </w:rPr>
              <w:t>P</w:t>
            </w:r>
          </w:p>
        </w:tc>
        <w:tc>
          <w:tcPr>
            <w:tcW w:w="567" w:type="dxa"/>
            <w:tcBorders>
              <w:top w:val="nil"/>
              <w:left w:val="nil"/>
              <w:bottom w:val="single" w:sz="8" w:space="0" w:color="auto"/>
              <w:right w:val="single" w:sz="8" w:space="0" w:color="auto"/>
            </w:tcBorders>
            <w:shd w:val="clear" w:color="000000" w:fill="FF0000"/>
            <w:noWrap/>
            <w:vAlign w:val="bottom"/>
            <w:hideMark/>
          </w:tcPr>
          <w:p w14:paraId="65754BFE" w14:textId="77777777" w:rsidR="002B705C" w:rsidRPr="00CB2EEC" w:rsidRDefault="002B705C" w:rsidP="002670CE">
            <w:pPr>
              <w:spacing w:after="0" w:line="240" w:lineRule="auto"/>
              <w:jc w:val="right"/>
              <w:rPr>
                <w:rFonts w:ascii="Calibri" w:eastAsia="Times New Roman" w:hAnsi="Calibri" w:cs="Calibri"/>
                <w:b/>
                <w:bCs/>
                <w:color w:val="000000"/>
                <w:sz w:val="20"/>
                <w:szCs w:val="20"/>
                <w:lang w:eastAsia="sk-SK"/>
              </w:rPr>
            </w:pPr>
            <w:r w:rsidRPr="00CB2EEC">
              <w:rPr>
                <w:rFonts w:ascii="Calibri" w:eastAsia="Times New Roman" w:hAnsi="Calibri" w:cs="Calibri"/>
                <w:b/>
                <w:bCs/>
                <w:color w:val="000000"/>
                <w:sz w:val="20"/>
                <w:szCs w:val="20"/>
                <w:lang w:eastAsia="sk-SK"/>
              </w:rPr>
              <w:t>2</w:t>
            </w:r>
          </w:p>
        </w:tc>
        <w:tc>
          <w:tcPr>
            <w:tcW w:w="992" w:type="dxa"/>
            <w:tcBorders>
              <w:top w:val="nil"/>
              <w:left w:val="nil"/>
              <w:bottom w:val="single" w:sz="4" w:space="0" w:color="auto"/>
              <w:right w:val="single" w:sz="4" w:space="0" w:color="auto"/>
            </w:tcBorders>
            <w:shd w:val="clear" w:color="auto" w:fill="auto"/>
            <w:noWrap/>
            <w:vAlign w:val="bottom"/>
            <w:hideMark/>
          </w:tcPr>
          <w:p w14:paraId="5FF14343" w14:textId="77777777" w:rsidR="002B705C" w:rsidRPr="00CB2EEC" w:rsidRDefault="002B705C" w:rsidP="002670CE">
            <w:pPr>
              <w:spacing w:after="0" w:line="240" w:lineRule="auto"/>
              <w:jc w:val="right"/>
              <w:rPr>
                <w:rFonts w:ascii="Calibri" w:eastAsia="Times New Roman" w:hAnsi="Calibri" w:cs="Calibri"/>
                <w:color w:val="000000"/>
                <w:sz w:val="20"/>
                <w:szCs w:val="20"/>
                <w:lang w:eastAsia="sk-SK"/>
              </w:rPr>
            </w:pPr>
            <w:r w:rsidRPr="00CB2EEC">
              <w:rPr>
                <w:rFonts w:ascii="Calibri" w:eastAsia="Times New Roman" w:hAnsi="Calibri" w:cs="Calibri"/>
                <w:color w:val="000000"/>
                <w:sz w:val="20"/>
                <w:szCs w:val="20"/>
                <w:lang w:eastAsia="sk-SK"/>
              </w:rPr>
              <w:t>1</w:t>
            </w:r>
          </w:p>
        </w:tc>
        <w:tc>
          <w:tcPr>
            <w:tcW w:w="1143" w:type="dxa"/>
            <w:tcBorders>
              <w:top w:val="nil"/>
              <w:left w:val="nil"/>
              <w:bottom w:val="single" w:sz="4" w:space="0" w:color="auto"/>
              <w:right w:val="single" w:sz="4" w:space="0" w:color="auto"/>
            </w:tcBorders>
            <w:shd w:val="clear" w:color="auto" w:fill="auto"/>
            <w:noWrap/>
            <w:vAlign w:val="bottom"/>
            <w:hideMark/>
          </w:tcPr>
          <w:p w14:paraId="45AE4212" w14:textId="77777777" w:rsidR="002B705C" w:rsidRPr="00CB2EEC" w:rsidRDefault="002B705C" w:rsidP="002670CE">
            <w:pPr>
              <w:spacing w:after="0" w:line="240" w:lineRule="auto"/>
              <w:jc w:val="right"/>
              <w:rPr>
                <w:rFonts w:ascii="Calibri" w:eastAsia="Times New Roman" w:hAnsi="Calibri" w:cs="Calibri"/>
                <w:color w:val="000000"/>
                <w:lang w:eastAsia="sk-SK"/>
              </w:rPr>
            </w:pPr>
            <w:r w:rsidRPr="00CB2EEC">
              <w:rPr>
                <w:rFonts w:ascii="Calibri" w:eastAsia="Times New Roman" w:hAnsi="Calibri" w:cs="Calibri"/>
                <w:color w:val="000000"/>
                <w:lang w:eastAsia="sk-SK"/>
              </w:rPr>
              <w:t>1</w:t>
            </w:r>
          </w:p>
        </w:tc>
        <w:tc>
          <w:tcPr>
            <w:tcW w:w="1253" w:type="dxa"/>
            <w:tcBorders>
              <w:top w:val="nil"/>
              <w:left w:val="nil"/>
              <w:bottom w:val="single" w:sz="4" w:space="0" w:color="auto"/>
              <w:right w:val="single" w:sz="4" w:space="0" w:color="auto"/>
            </w:tcBorders>
            <w:shd w:val="clear" w:color="000000" w:fill="D9E1F2"/>
            <w:noWrap/>
            <w:vAlign w:val="bottom"/>
            <w:hideMark/>
          </w:tcPr>
          <w:p w14:paraId="4929997C" w14:textId="77777777" w:rsidR="002B705C" w:rsidRPr="00CB2EEC" w:rsidRDefault="002B705C" w:rsidP="002670CE">
            <w:pPr>
              <w:spacing w:after="0" w:line="240" w:lineRule="auto"/>
              <w:jc w:val="right"/>
              <w:rPr>
                <w:rFonts w:ascii="Calibri" w:eastAsia="Times New Roman" w:hAnsi="Calibri" w:cs="Calibri"/>
                <w:color w:val="000000"/>
                <w:lang w:eastAsia="sk-SK"/>
              </w:rPr>
            </w:pPr>
            <w:r w:rsidRPr="00CB2EEC">
              <w:rPr>
                <w:rFonts w:ascii="Calibri" w:eastAsia="Times New Roman" w:hAnsi="Calibri" w:cs="Calibri"/>
                <w:color w:val="000000"/>
                <w:lang w:eastAsia="sk-SK"/>
              </w:rPr>
              <w:t>1,0</w:t>
            </w:r>
          </w:p>
        </w:tc>
      </w:tr>
      <w:tr w:rsidR="002B705C" w:rsidRPr="00CB2EEC" w14:paraId="4BEF8733" w14:textId="77777777" w:rsidTr="002670CE">
        <w:trPr>
          <w:trHeight w:val="315"/>
        </w:trPr>
        <w:tc>
          <w:tcPr>
            <w:tcW w:w="9767" w:type="dxa"/>
            <w:gridSpan w:val="8"/>
            <w:tcBorders>
              <w:top w:val="nil"/>
              <w:left w:val="single" w:sz="4" w:space="0" w:color="auto"/>
              <w:bottom w:val="nil"/>
              <w:right w:val="single" w:sz="4" w:space="0" w:color="000000"/>
            </w:tcBorders>
            <w:shd w:val="clear" w:color="000000" w:fill="D9D9D9"/>
            <w:noWrap/>
            <w:vAlign w:val="bottom"/>
            <w:hideMark/>
          </w:tcPr>
          <w:p w14:paraId="6F272627" w14:textId="77777777" w:rsidR="002B705C" w:rsidRPr="00CB2EEC" w:rsidRDefault="002B705C" w:rsidP="002670CE">
            <w:pPr>
              <w:spacing w:after="0" w:line="240" w:lineRule="auto"/>
              <w:rPr>
                <w:rFonts w:ascii="Calibri" w:eastAsia="Times New Roman" w:hAnsi="Calibri" w:cs="Calibri"/>
                <w:b/>
                <w:bCs/>
                <w:color w:val="000000"/>
                <w:sz w:val="20"/>
                <w:szCs w:val="20"/>
                <w:lang w:eastAsia="sk-SK"/>
              </w:rPr>
            </w:pPr>
            <w:r w:rsidRPr="00CB2EEC">
              <w:rPr>
                <w:rFonts w:ascii="Calibri" w:eastAsia="Times New Roman" w:hAnsi="Calibri" w:cs="Calibri"/>
                <w:b/>
                <w:bCs/>
                <w:color w:val="000000"/>
                <w:sz w:val="20"/>
                <w:szCs w:val="20"/>
                <w:lang w:eastAsia="sk-SK"/>
              </w:rPr>
              <w:t>Celoročná ponuka CR</w:t>
            </w:r>
          </w:p>
        </w:tc>
      </w:tr>
      <w:tr w:rsidR="002B705C" w:rsidRPr="00CB2EEC" w14:paraId="74709916" w14:textId="77777777" w:rsidTr="002670CE">
        <w:trPr>
          <w:trHeight w:val="510"/>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3F22920F" w14:textId="77777777" w:rsidR="002B705C" w:rsidRPr="00CB2EEC" w:rsidRDefault="002B705C" w:rsidP="002670CE">
            <w:pPr>
              <w:spacing w:after="0" w:line="240" w:lineRule="auto"/>
              <w:rPr>
                <w:rFonts w:ascii="Calibri" w:eastAsia="Times New Roman" w:hAnsi="Calibri" w:cs="Calibri"/>
                <w:b/>
                <w:bCs/>
                <w:color w:val="000000"/>
                <w:sz w:val="20"/>
                <w:szCs w:val="20"/>
                <w:lang w:eastAsia="sk-SK"/>
              </w:rPr>
            </w:pPr>
            <w:r w:rsidRPr="00CB2EEC">
              <w:rPr>
                <w:rFonts w:ascii="Calibri" w:eastAsia="Times New Roman" w:hAnsi="Calibri" w:cs="Calibri"/>
                <w:b/>
                <w:bCs/>
                <w:color w:val="000000"/>
                <w:sz w:val="20"/>
                <w:szCs w:val="20"/>
                <w:lang w:eastAsia="sk-SK"/>
              </w:rPr>
              <w:t>11. Podujatia a festivaly</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2C4A1DD2" w14:textId="77777777" w:rsidR="002B705C" w:rsidRPr="00CB2EEC" w:rsidRDefault="002B705C" w:rsidP="002670CE">
            <w:pPr>
              <w:spacing w:after="0" w:line="240" w:lineRule="auto"/>
              <w:rPr>
                <w:rFonts w:ascii="Calibri" w:eastAsia="Times New Roman" w:hAnsi="Calibri" w:cs="Calibri"/>
                <w:color w:val="000000"/>
                <w:sz w:val="20"/>
                <w:szCs w:val="20"/>
                <w:lang w:eastAsia="sk-SK"/>
              </w:rPr>
            </w:pPr>
            <w:r w:rsidRPr="00CB2EEC">
              <w:rPr>
                <w:rFonts w:ascii="Calibri" w:eastAsia="Times New Roman" w:hAnsi="Calibri" w:cs="Calibri"/>
                <w:color w:val="000000"/>
                <w:sz w:val="20"/>
                <w:szCs w:val="20"/>
                <w:lang w:eastAsia="sk-SK"/>
              </w:rPr>
              <w:t> </w:t>
            </w:r>
          </w:p>
        </w:tc>
        <w:tc>
          <w:tcPr>
            <w:tcW w:w="1911" w:type="dxa"/>
            <w:tcBorders>
              <w:top w:val="single" w:sz="4" w:space="0" w:color="auto"/>
              <w:left w:val="nil"/>
              <w:bottom w:val="single" w:sz="4" w:space="0" w:color="auto"/>
              <w:right w:val="nil"/>
            </w:tcBorders>
            <w:shd w:val="clear" w:color="auto" w:fill="auto"/>
            <w:noWrap/>
            <w:vAlign w:val="bottom"/>
            <w:hideMark/>
          </w:tcPr>
          <w:p w14:paraId="3266C8FF" w14:textId="77777777" w:rsidR="002B705C" w:rsidRPr="00CB2EEC" w:rsidRDefault="002B705C" w:rsidP="002670CE">
            <w:pPr>
              <w:spacing w:after="0" w:line="240" w:lineRule="auto"/>
              <w:rPr>
                <w:rFonts w:ascii="Calibri" w:eastAsia="Times New Roman" w:hAnsi="Calibri" w:cs="Calibri"/>
                <w:color w:val="000000"/>
                <w:sz w:val="20"/>
                <w:szCs w:val="20"/>
                <w:lang w:eastAsia="sk-SK"/>
              </w:rPr>
            </w:pPr>
            <w:r w:rsidRPr="00CB2EEC">
              <w:rPr>
                <w:rFonts w:ascii="Calibri" w:eastAsia="Times New Roman" w:hAnsi="Calibri" w:cs="Calibri"/>
                <w:color w:val="000000"/>
                <w:sz w:val="20"/>
                <w:szCs w:val="20"/>
                <w:lang w:eastAsia="sk-SK"/>
              </w:rPr>
              <w:t> </w:t>
            </w:r>
          </w:p>
        </w:tc>
        <w:tc>
          <w:tcPr>
            <w:tcW w:w="170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C39B1F5" w14:textId="77777777" w:rsidR="002B705C" w:rsidRPr="00CB2EEC" w:rsidRDefault="002B705C" w:rsidP="002670CE">
            <w:pPr>
              <w:spacing w:after="0" w:line="240" w:lineRule="auto"/>
              <w:rPr>
                <w:rFonts w:ascii="Calibri" w:eastAsia="Times New Roman" w:hAnsi="Calibri" w:cs="Calibri"/>
                <w:b/>
                <w:bCs/>
                <w:color w:val="000000"/>
                <w:sz w:val="20"/>
                <w:szCs w:val="20"/>
                <w:lang w:eastAsia="sk-SK"/>
              </w:rPr>
            </w:pPr>
            <w:r w:rsidRPr="00CB2EEC">
              <w:rPr>
                <w:rFonts w:ascii="Calibri" w:eastAsia="Times New Roman" w:hAnsi="Calibri" w:cs="Calibri"/>
                <w:b/>
                <w:bCs/>
                <w:color w:val="FF0000"/>
                <w:sz w:val="20"/>
                <w:szCs w:val="20"/>
                <w:lang w:eastAsia="sk-SK"/>
              </w:rPr>
              <w:t>D,</w:t>
            </w:r>
            <w:r w:rsidRPr="00CB2EEC">
              <w:rPr>
                <w:rFonts w:ascii="Calibri" w:eastAsia="Times New Roman" w:hAnsi="Calibri" w:cs="Calibri"/>
                <w:b/>
                <w:bCs/>
                <w:color w:val="F4B084"/>
                <w:sz w:val="20"/>
                <w:szCs w:val="20"/>
                <w:lang w:eastAsia="sk-SK"/>
              </w:rPr>
              <w:t xml:space="preserve"> E, G,</w:t>
            </w:r>
            <w:r w:rsidRPr="00CB2EEC">
              <w:rPr>
                <w:rFonts w:ascii="Calibri" w:eastAsia="Times New Roman" w:hAnsi="Calibri" w:cs="Calibri"/>
                <w:b/>
                <w:bCs/>
                <w:color w:val="A9D08E"/>
                <w:sz w:val="20"/>
                <w:szCs w:val="20"/>
                <w:lang w:eastAsia="sk-SK"/>
              </w:rPr>
              <w:t xml:space="preserve"> </w:t>
            </w:r>
            <w:r w:rsidRPr="00CB2EEC">
              <w:rPr>
                <w:rFonts w:ascii="Calibri" w:eastAsia="Times New Roman" w:hAnsi="Calibri" w:cs="Calibri"/>
                <w:b/>
                <w:bCs/>
                <w:color w:val="548235"/>
                <w:sz w:val="20"/>
                <w:szCs w:val="20"/>
                <w:lang w:eastAsia="sk-SK"/>
              </w:rPr>
              <w:t xml:space="preserve">J, K, </w:t>
            </w:r>
            <w:r w:rsidRPr="00CB2EEC">
              <w:rPr>
                <w:rFonts w:ascii="Calibri" w:eastAsia="Times New Roman" w:hAnsi="Calibri" w:cs="Calibri"/>
                <w:b/>
                <w:bCs/>
                <w:color w:val="FF0000"/>
                <w:sz w:val="20"/>
                <w:szCs w:val="20"/>
                <w:lang w:eastAsia="sk-SK"/>
              </w:rPr>
              <w:t>M</w:t>
            </w:r>
          </w:p>
        </w:tc>
        <w:tc>
          <w:tcPr>
            <w:tcW w:w="567" w:type="dxa"/>
            <w:tcBorders>
              <w:top w:val="single" w:sz="8" w:space="0" w:color="auto"/>
              <w:left w:val="nil"/>
              <w:bottom w:val="single" w:sz="4" w:space="0" w:color="auto"/>
              <w:right w:val="single" w:sz="8" w:space="0" w:color="auto"/>
            </w:tcBorders>
            <w:shd w:val="clear" w:color="000000" w:fill="F4B084"/>
            <w:noWrap/>
            <w:vAlign w:val="bottom"/>
            <w:hideMark/>
          </w:tcPr>
          <w:p w14:paraId="3C6CDD3E" w14:textId="77777777" w:rsidR="002B705C" w:rsidRPr="00CB2EEC" w:rsidRDefault="002B705C" w:rsidP="002670CE">
            <w:pPr>
              <w:spacing w:after="0" w:line="240" w:lineRule="auto"/>
              <w:jc w:val="right"/>
              <w:rPr>
                <w:rFonts w:ascii="Calibri" w:eastAsia="Times New Roman" w:hAnsi="Calibri" w:cs="Calibri"/>
                <w:color w:val="000000"/>
                <w:sz w:val="20"/>
                <w:szCs w:val="20"/>
                <w:lang w:eastAsia="sk-SK"/>
              </w:rPr>
            </w:pPr>
            <w:r w:rsidRPr="00CB2EEC">
              <w:rPr>
                <w:rFonts w:ascii="Calibri" w:eastAsia="Times New Roman" w:hAnsi="Calibri" w:cs="Calibri"/>
                <w:color w:val="000000"/>
                <w:sz w:val="20"/>
                <w:szCs w:val="20"/>
                <w:lang w:eastAsia="sk-SK"/>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7707A2D" w14:textId="77777777" w:rsidR="002B705C" w:rsidRPr="00CB2EEC" w:rsidRDefault="002B705C" w:rsidP="002670CE">
            <w:pPr>
              <w:spacing w:after="0" w:line="240" w:lineRule="auto"/>
              <w:jc w:val="right"/>
              <w:rPr>
                <w:rFonts w:ascii="Calibri" w:eastAsia="Times New Roman" w:hAnsi="Calibri" w:cs="Calibri"/>
                <w:color w:val="000000"/>
                <w:sz w:val="20"/>
                <w:szCs w:val="20"/>
                <w:lang w:eastAsia="sk-SK"/>
              </w:rPr>
            </w:pPr>
            <w:r w:rsidRPr="00CB2EEC">
              <w:rPr>
                <w:rFonts w:ascii="Calibri" w:eastAsia="Times New Roman" w:hAnsi="Calibri" w:cs="Calibri"/>
                <w:color w:val="000000"/>
                <w:sz w:val="20"/>
                <w:szCs w:val="20"/>
                <w:lang w:eastAsia="sk-SK"/>
              </w:rPr>
              <w:t>1</w:t>
            </w:r>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14:paraId="710BE457" w14:textId="77777777" w:rsidR="002B705C" w:rsidRPr="00CB2EEC" w:rsidRDefault="002B705C" w:rsidP="002670CE">
            <w:pPr>
              <w:spacing w:after="0" w:line="240" w:lineRule="auto"/>
              <w:jc w:val="right"/>
              <w:rPr>
                <w:rFonts w:ascii="Calibri" w:eastAsia="Times New Roman" w:hAnsi="Calibri" w:cs="Calibri"/>
                <w:b/>
                <w:bCs/>
                <w:color w:val="000000"/>
                <w:sz w:val="20"/>
                <w:szCs w:val="20"/>
                <w:lang w:eastAsia="sk-SK"/>
              </w:rPr>
            </w:pPr>
            <w:r w:rsidRPr="00CB2EEC">
              <w:rPr>
                <w:rFonts w:ascii="Calibri" w:eastAsia="Times New Roman" w:hAnsi="Calibri" w:cs="Calibri"/>
                <w:b/>
                <w:bCs/>
                <w:color w:val="000000"/>
                <w:sz w:val="20"/>
                <w:szCs w:val="20"/>
                <w:lang w:eastAsia="sk-SK"/>
              </w:rPr>
              <w:t>2</w:t>
            </w:r>
          </w:p>
        </w:tc>
        <w:tc>
          <w:tcPr>
            <w:tcW w:w="1253" w:type="dxa"/>
            <w:tcBorders>
              <w:top w:val="single" w:sz="4" w:space="0" w:color="auto"/>
              <w:left w:val="nil"/>
              <w:bottom w:val="single" w:sz="4" w:space="0" w:color="auto"/>
              <w:right w:val="single" w:sz="4" w:space="0" w:color="auto"/>
            </w:tcBorders>
            <w:shd w:val="clear" w:color="000000" w:fill="D9E1F2"/>
            <w:noWrap/>
            <w:vAlign w:val="bottom"/>
            <w:hideMark/>
          </w:tcPr>
          <w:p w14:paraId="7043CF32" w14:textId="77777777" w:rsidR="002B705C" w:rsidRPr="00CB2EEC" w:rsidRDefault="002B705C" w:rsidP="002670CE">
            <w:pPr>
              <w:spacing w:after="0" w:line="240" w:lineRule="auto"/>
              <w:jc w:val="right"/>
              <w:rPr>
                <w:rFonts w:ascii="Calibri" w:eastAsia="Times New Roman" w:hAnsi="Calibri" w:cs="Calibri"/>
                <w:color w:val="000000"/>
                <w:lang w:eastAsia="sk-SK"/>
              </w:rPr>
            </w:pPr>
            <w:r w:rsidRPr="00CB2EEC">
              <w:rPr>
                <w:rFonts w:ascii="Calibri" w:eastAsia="Times New Roman" w:hAnsi="Calibri" w:cs="Calibri"/>
                <w:color w:val="000000"/>
                <w:lang w:eastAsia="sk-SK"/>
              </w:rPr>
              <w:t>1,5</w:t>
            </w:r>
          </w:p>
        </w:tc>
      </w:tr>
      <w:tr w:rsidR="002B705C" w:rsidRPr="00CB2EEC" w14:paraId="7FD87748" w14:textId="77777777" w:rsidTr="002670CE">
        <w:trPr>
          <w:trHeight w:val="525"/>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EADDECD" w14:textId="77777777" w:rsidR="002B705C" w:rsidRPr="00CB2EEC" w:rsidRDefault="002B705C" w:rsidP="002670CE">
            <w:pPr>
              <w:spacing w:after="0" w:line="240" w:lineRule="auto"/>
              <w:rPr>
                <w:rFonts w:ascii="Calibri" w:eastAsia="Times New Roman" w:hAnsi="Calibri" w:cs="Calibri"/>
                <w:b/>
                <w:bCs/>
                <w:color w:val="000000"/>
                <w:sz w:val="20"/>
                <w:szCs w:val="20"/>
                <w:lang w:eastAsia="sk-SK"/>
              </w:rPr>
            </w:pPr>
            <w:r w:rsidRPr="00CB2EEC">
              <w:rPr>
                <w:rFonts w:ascii="Calibri" w:eastAsia="Times New Roman" w:hAnsi="Calibri" w:cs="Calibri"/>
                <w:b/>
                <w:bCs/>
                <w:color w:val="000000"/>
                <w:sz w:val="20"/>
                <w:szCs w:val="20"/>
                <w:lang w:eastAsia="sk-SK"/>
              </w:rPr>
              <w:t>12. Historické pamiatky</w:t>
            </w:r>
          </w:p>
        </w:tc>
        <w:tc>
          <w:tcPr>
            <w:tcW w:w="640" w:type="dxa"/>
            <w:tcBorders>
              <w:top w:val="nil"/>
              <w:left w:val="nil"/>
              <w:bottom w:val="single" w:sz="4" w:space="0" w:color="auto"/>
              <w:right w:val="single" w:sz="4" w:space="0" w:color="auto"/>
            </w:tcBorders>
            <w:shd w:val="clear" w:color="auto" w:fill="auto"/>
            <w:noWrap/>
            <w:vAlign w:val="bottom"/>
            <w:hideMark/>
          </w:tcPr>
          <w:p w14:paraId="0F49110D" w14:textId="77777777" w:rsidR="002B705C" w:rsidRPr="00CB2EEC" w:rsidRDefault="002B705C" w:rsidP="002670CE">
            <w:pPr>
              <w:spacing w:after="0" w:line="240" w:lineRule="auto"/>
              <w:rPr>
                <w:rFonts w:ascii="Calibri" w:eastAsia="Times New Roman" w:hAnsi="Calibri" w:cs="Calibri"/>
                <w:color w:val="000000"/>
                <w:sz w:val="20"/>
                <w:szCs w:val="20"/>
                <w:lang w:eastAsia="sk-SK"/>
              </w:rPr>
            </w:pPr>
            <w:r w:rsidRPr="00CB2EEC">
              <w:rPr>
                <w:rFonts w:ascii="Calibri" w:eastAsia="Times New Roman" w:hAnsi="Calibri" w:cs="Calibri"/>
                <w:color w:val="000000"/>
                <w:sz w:val="20"/>
                <w:szCs w:val="20"/>
                <w:lang w:eastAsia="sk-SK"/>
              </w:rPr>
              <w:t> </w:t>
            </w:r>
          </w:p>
        </w:tc>
        <w:tc>
          <w:tcPr>
            <w:tcW w:w="1911" w:type="dxa"/>
            <w:tcBorders>
              <w:top w:val="nil"/>
              <w:left w:val="nil"/>
              <w:bottom w:val="single" w:sz="4" w:space="0" w:color="auto"/>
              <w:right w:val="nil"/>
            </w:tcBorders>
            <w:shd w:val="clear" w:color="auto" w:fill="auto"/>
            <w:noWrap/>
            <w:vAlign w:val="bottom"/>
            <w:hideMark/>
          </w:tcPr>
          <w:p w14:paraId="011FEA81" w14:textId="77777777" w:rsidR="002B705C" w:rsidRPr="00CB2EEC" w:rsidRDefault="002B705C" w:rsidP="002670CE">
            <w:pPr>
              <w:spacing w:after="0" w:line="240" w:lineRule="auto"/>
              <w:rPr>
                <w:rFonts w:ascii="Calibri" w:eastAsia="Times New Roman" w:hAnsi="Calibri" w:cs="Calibri"/>
                <w:color w:val="000000"/>
                <w:sz w:val="20"/>
                <w:szCs w:val="20"/>
                <w:lang w:eastAsia="sk-SK"/>
              </w:rPr>
            </w:pPr>
            <w:r w:rsidRPr="00CB2EEC">
              <w:rPr>
                <w:rFonts w:ascii="Calibri" w:eastAsia="Times New Roman" w:hAnsi="Calibri" w:cs="Calibri"/>
                <w:color w:val="000000"/>
                <w:sz w:val="20"/>
                <w:szCs w:val="20"/>
                <w:lang w:eastAsia="sk-SK"/>
              </w:rPr>
              <w:t> </w:t>
            </w:r>
          </w:p>
        </w:tc>
        <w:tc>
          <w:tcPr>
            <w:tcW w:w="1701" w:type="dxa"/>
            <w:tcBorders>
              <w:top w:val="nil"/>
              <w:left w:val="single" w:sz="8" w:space="0" w:color="auto"/>
              <w:bottom w:val="single" w:sz="8" w:space="0" w:color="auto"/>
              <w:right w:val="single" w:sz="4" w:space="0" w:color="auto"/>
            </w:tcBorders>
            <w:shd w:val="clear" w:color="auto" w:fill="auto"/>
            <w:noWrap/>
            <w:vAlign w:val="bottom"/>
            <w:hideMark/>
          </w:tcPr>
          <w:p w14:paraId="407414FB" w14:textId="77777777" w:rsidR="002B705C" w:rsidRPr="00CB2EEC" w:rsidRDefault="002B705C" w:rsidP="002670CE">
            <w:pPr>
              <w:spacing w:after="0" w:line="240" w:lineRule="auto"/>
              <w:rPr>
                <w:rFonts w:ascii="Calibri" w:eastAsia="Times New Roman" w:hAnsi="Calibri" w:cs="Calibri"/>
                <w:b/>
                <w:bCs/>
                <w:color w:val="000000"/>
                <w:sz w:val="20"/>
                <w:szCs w:val="20"/>
                <w:lang w:eastAsia="sk-SK"/>
              </w:rPr>
            </w:pPr>
            <w:r w:rsidRPr="00CB2EEC">
              <w:rPr>
                <w:rFonts w:ascii="Calibri" w:eastAsia="Times New Roman" w:hAnsi="Calibri" w:cs="Calibri"/>
                <w:b/>
                <w:bCs/>
                <w:color w:val="ED7D31"/>
                <w:sz w:val="20"/>
                <w:szCs w:val="20"/>
                <w:lang w:eastAsia="sk-SK"/>
              </w:rPr>
              <w:t>D, E, G, H, Q,</w:t>
            </w:r>
            <w:r w:rsidRPr="00CB2EEC">
              <w:rPr>
                <w:rFonts w:ascii="Calibri" w:eastAsia="Times New Roman" w:hAnsi="Calibri" w:cs="Calibri"/>
                <w:b/>
                <w:bCs/>
                <w:color w:val="000000"/>
                <w:sz w:val="20"/>
                <w:szCs w:val="20"/>
                <w:lang w:eastAsia="sk-SK"/>
              </w:rPr>
              <w:t xml:space="preserve"> </w:t>
            </w:r>
            <w:r w:rsidRPr="00CB2EEC">
              <w:rPr>
                <w:rFonts w:ascii="Calibri" w:eastAsia="Times New Roman" w:hAnsi="Calibri" w:cs="Calibri"/>
                <w:b/>
                <w:bCs/>
                <w:color w:val="548235"/>
                <w:sz w:val="20"/>
                <w:szCs w:val="20"/>
                <w:lang w:eastAsia="sk-SK"/>
              </w:rPr>
              <w:t>J, K</w:t>
            </w:r>
          </w:p>
        </w:tc>
        <w:tc>
          <w:tcPr>
            <w:tcW w:w="567" w:type="dxa"/>
            <w:tcBorders>
              <w:top w:val="nil"/>
              <w:left w:val="nil"/>
              <w:bottom w:val="single" w:sz="8" w:space="0" w:color="auto"/>
              <w:right w:val="single" w:sz="8" w:space="0" w:color="auto"/>
            </w:tcBorders>
            <w:shd w:val="clear" w:color="000000" w:fill="FFF2CC"/>
            <w:noWrap/>
            <w:vAlign w:val="bottom"/>
            <w:hideMark/>
          </w:tcPr>
          <w:p w14:paraId="4055AAEA" w14:textId="77777777" w:rsidR="002B705C" w:rsidRPr="00CB2EEC" w:rsidRDefault="002B705C" w:rsidP="002670CE">
            <w:pPr>
              <w:spacing w:after="0" w:line="240" w:lineRule="auto"/>
              <w:jc w:val="right"/>
              <w:rPr>
                <w:rFonts w:ascii="Calibri" w:eastAsia="Times New Roman" w:hAnsi="Calibri" w:cs="Calibri"/>
                <w:b/>
                <w:bCs/>
                <w:sz w:val="20"/>
                <w:szCs w:val="20"/>
                <w:lang w:eastAsia="sk-SK"/>
              </w:rPr>
            </w:pPr>
            <w:r w:rsidRPr="00CB2EEC">
              <w:rPr>
                <w:rFonts w:ascii="Calibri" w:eastAsia="Times New Roman" w:hAnsi="Calibri" w:cs="Calibri"/>
                <w:b/>
                <w:bCs/>
                <w:sz w:val="20"/>
                <w:szCs w:val="20"/>
                <w:lang w:eastAsia="sk-SK"/>
              </w:rPr>
              <w:t>0</w:t>
            </w:r>
          </w:p>
        </w:tc>
        <w:tc>
          <w:tcPr>
            <w:tcW w:w="992" w:type="dxa"/>
            <w:tcBorders>
              <w:top w:val="nil"/>
              <w:left w:val="nil"/>
              <w:bottom w:val="single" w:sz="4" w:space="0" w:color="auto"/>
              <w:right w:val="single" w:sz="4" w:space="0" w:color="auto"/>
            </w:tcBorders>
            <w:shd w:val="clear" w:color="auto" w:fill="auto"/>
            <w:noWrap/>
            <w:vAlign w:val="bottom"/>
            <w:hideMark/>
          </w:tcPr>
          <w:p w14:paraId="318AAE1F" w14:textId="77777777" w:rsidR="002B705C" w:rsidRPr="00CB2EEC" w:rsidRDefault="002B705C" w:rsidP="002670CE">
            <w:pPr>
              <w:spacing w:after="0" w:line="240" w:lineRule="auto"/>
              <w:jc w:val="right"/>
              <w:rPr>
                <w:rFonts w:ascii="Calibri" w:eastAsia="Times New Roman" w:hAnsi="Calibri" w:cs="Calibri"/>
                <w:color w:val="000000"/>
                <w:sz w:val="20"/>
                <w:szCs w:val="20"/>
                <w:lang w:eastAsia="sk-SK"/>
              </w:rPr>
            </w:pPr>
            <w:r w:rsidRPr="00CB2EEC">
              <w:rPr>
                <w:rFonts w:ascii="Calibri" w:eastAsia="Times New Roman" w:hAnsi="Calibri" w:cs="Calibri"/>
                <w:color w:val="000000"/>
                <w:sz w:val="20"/>
                <w:szCs w:val="20"/>
                <w:lang w:eastAsia="sk-SK"/>
              </w:rPr>
              <w:t>1</w:t>
            </w:r>
          </w:p>
        </w:tc>
        <w:tc>
          <w:tcPr>
            <w:tcW w:w="1143" w:type="dxa"/>
            <w:tcBorders>
              <w:top w:val="nil"/>
              <w:left w:val="nil"/>
              <w:bottom w:val="single" w:sz="4" w:space="0" w:color="auto"/>
              <w:right w:val="single" w:sz="4" w:space="0" w:color="auto"/>
            </w:tcBorders>
            <w:shd w:val="clear" w:color="auto" w:fill="auto"/>
            <w:noWrap/>
            <w:vAlign w:val="bottom"/>
            <w:hideMark/>
          </w:tcPr>
          <w:p w14:paraId="3046B04E" w14:textId="77777777" w:rsidR="002B705C" w:rsidRPr="00CB2EEC" w:rsidRDefault="002B705C" w:rsidP="002670CE">
            <w:pPr>
              <w:spacing w:after="0" w:line="240" w:lineRule="auto"/>
              <w:jc w:val="right"/>
              <w:rPr>
                <w:rFonts w:ascii="Calibri" w:eastAsia="Times New Roman" w:hAnsi="Calibri" w:cs="Calibri"/>
                <w:color w:val="000000"/>
                <w:sz w:val="20"/>
                <w:szCs w:val="20"/>
                <w:lang w:eastAsia="sk-SK"/>
              </w:rPr>
            </w:pPr>
            <w:r w:rsidRPr="00CB2EEC">
              <w:rPr>
                <w:rFonts w:ascii="Calibri" w:eastAsia="Times New Roman" w:hAnsi="Calibri" w:cs="Calibri"/>
                <w:color w:val="000000"/>
                <w:sz w:val="20"/>
                <w:szCs w:val="20"/>
                <w:lang w:eastAsia="sk-SK"/>
              </w:rPr>
              <w:t>1</w:t>
            </w:r>
          </w:p>
        </w:tc>
        <w:tc>
          <w:tcPr>
            <w:tcW w:w="1253" w:type="dxa"/>
            <w:tcBorders>
              <w:top w:val="nil"/>
              <w:left w:val="nil"/>
              <w:bottom w:val="single" w:sz="4" w:space="0" w:color="auto"/>
              <w:right w:val="single" w:sz="4" w:space="0" w:color="auto"/>
            </w:tcBorders>
            <w:shd w:val="clear" w:color="000000" w:fill="D9E1F2"/>
            <w:noWrap/>
            <w:vAlign w:val="bottom"/>
            <w:hideMark/>
          </w:tcPr>
          <w:p w14:paraId="22E68065" w14:textId="77777777" w:rsidR="002B705C" w:rsidRPr="00CB2EEC" w:rsidRDefault="002B705C" w:rsidP="002670CE">
            <w:pPr>
              <w:keepNext/>
              <w:spacing w:after="0" w:line="240" w:lineRule="auto"/>
              <w:jc w:val="right"/>
              <w:rPr>
                <w:rFonts w:ascii="Calibri" w:eastAsia="Times New Roman" w:hAnsi="Calibri" w:cs="Calibri"/>
                <w:color w:val="000000"/>
                <w:lang w:eastAsia="sk-SK"/>
              </w:rPr>
            </w:pPr>
            <w:r w:rsidRPr="00CB2EEC">
              <w:rPr>
                <w:rFonts w:ascii="Calibri" w:eastAsia="Times New Roman" w:hAnsi="Calibri" w:cs="Calibri"/>
                <w:color w:val="000000"/>
                <w:lang w:eastAsia="sk-SK"/>
              </w:rPr>
              <w:t>1,0</w:t>
            </w:r>
          </w:p>
        </w:tc>
      </w:tr>
    </w:tbl>
    <w:p w14:paraId="2E650822" w14:textId="70CAEF1D" w:rsidR="002B705C" w:rsidRPr="00D241E2" w:rsidRDefault="002B705C" w:rsidP="002B705C">
      <w:pPr>
        <w:pStyle w:val="Popis"/>
        <w:rPr>
          <w:b/>
          <w:i w:val="0"/>
          <w:color w:val="auto"/>
        </w:rPr>
      </w:pPr>
      <w:r w:rsidRPr="00D241E2">
        <w:rPr>
          <w:b/>
          <w:i w:val="0"/>
          <w:color w:val="auto"/>
        </w:rPr>
        <w:t xml:space="preserve">Tabuľka </w:t>
      </w:r>
      <w:r w:rsidR="00FF36C8">
        <w:rPr>
          <w:b/>
          <w:i w:val="0"/>
          <w:color w:val="auto"/>
        </w:rPr>
        <w:fldChar w:fldCharType="begin"/>
      </w:r>
      <w:r w:rsidR="00FF36C8">
        <w:rPr>
          <w:b/>
          <w:i w:val="0"/>
          <w:color w:val="auto"/>
        </w:rPr>
        <w:instrText xml:space="preserve"> SEQ Tabuľka \* ARABIC </w:instrText>
      </w:r>
      <w:r w:rsidR="00FF36C8">
        <w:rPr>
          <w:b/>
          <w:i w:val="0"/>
          <w:color w:val="auto"/>
        </w:rPr>
        <w:fldChar w:fldCharType="separate"/>
      </w:r>
      <w:r w:rsidR="00FF36C8">
        <w:rPr>
          <w:b/>
          <w:i w:val="0"/>
          <w:noProof/>
          <w:color w:val="auto"/>
        </w:rPr>
        <w:t>12</w:t>
      </w:r>
      <w:r w:rsidR="00FF36C8">
        <w:rPr>
          <w:b/>
          <w:i w:val="0"/>
          <w:color w:val="auto"/>
        </w:rPr>
        <w:fldChar w:fldCharType="end"/>
      </w:r>
      <w:r w:rsidRPr="00D241E2">
        <w:rPr>
          <w:b/>
          <w:i w:val="0"/>
          <w:color w:val="auto"/>
        </w:rPr>
        <w:t>. Posúdenie klimatickej zraniteľnosti a významnosti produktu CR v rámci zimnej  sezóna a celoročná ). Zdroj: Vlastné spracovanie KRI, 2018.</w:t>
      </w:r>
    </w:p>
    <w:p w14:paraId="74F5C74E" w14:textId="77777777" w:rsidR="002B705C" w:rsidRPr="00254D54" w:rsidRDefault="002B705C" w:rsidP="002B705C">
      <w:pPr>
        <w:autoSpaceDE w:val="0"/>
        <w:autoSpaceDN w:val="0"/>
        <w:adjustRightInd w:val="0"/>
        <w:spacing w:after="0" w:line="276" w:lineRule="auto"/>
        <w:jc w:val="both"/>
        <w:rPr>
          <w:rFonts w:cstheme="minorHAnsi"/>
          <w:color w:val="1D1D1B"/>
        </w:rPr>
      </w:pPr>
      <w:r>
        <w:rPr>
          <w:rFonts w:cstheme="minorHAnsi"/>
        </w:rPr>
        <w:t>Rovnakej analýze podliehali aj produkty CR v zimnej sezóne a ponuka celoročného CR.</w:t>
      </w:r>
      <w:r>
        <w:rPr>
          <w:rFonts w:cstheme="minorHAnsi"/>
          <w:color w:val="1D1D1B"/>
        </w:rPr>
        <w:t xml:space="preserve"> Jednotlivé dopady zmeny klímy, vysvetlené v predchádzajúcom odseku (kódy M-R, v prípade celoročnej ponuky A-R) sú priradené k jednotlivým produktom alebo podproduktom CR podľa identifikovaných ohrození</w:t>
      </w:r>
      <w:r w:rsidRPr="0086715D">
        <w:rPr>
          <w:rFonts w:cstheme="minorHAnsi"/>
          <w:color w:val="1D1D1B"/>
        </w:rPr>
        <w:t xml:space="preserve"> </w:t>
      </w:r>
      <w:r>
        <w:rPr>
          <w:rFonts w:cstheme="minorHAnsi"/>
          <w:color w:val="1D1D1B"/>
        </w:rPr>
        <w:t xml:space="preserve">na základe expertného odhadu (Príloha 1 – </w:t>
      </w:r>
      <w:r w:rsidRPr="00F8088C">
        <w:rPr>
          <w:rFonts w:cstheme="minorHAnsi"/>
          <w:i/>
          <w:color w:val="1D1D1B"/>
        </w:rPr>
        <w:t xml:space="preserve">tabuľka </w:t>
      </w:r>
      <w:r w:rsidRPr="003207EA">
        <w:rPr>
          <w:rFonts w:cstheme="minorHAnsi"/>
          <w:i/>
          <w:color w:val="1D1D1B"/>
        </w:rPr>
        <w:t>od OOCR</w:t>
      </w:r>
      <w:r>
        <w:rPr>
          <w:rFonts w:cstheme="minorHAnsi"/>
          <w:color w:val="1D1D1B"/>
        </w:rPr>
        <w:t>) (oranžové písmená – mierne negatívne, červené – významné negatívne) a identifikovaných príležitostí (svetlozelené písmena – mierne pozitívne, tmavozelené – významne pozitívne) v stĺpci</w:t>
      </w:r>
      <w:r w:rsidRPr="003B0FD1">
        <w:rPr>
          <w:rFonts w:ascii="Calibri" w:eastAsia="Times New Roman" w:hAnsi="Calibri" w:cs="Calibri"/>
          <w:bCs/>
          <w:color w:val="000000"/>
          <w:sz w:val="20"/>
          <w:szCs w:val="20"/>
          <w:lang w:eastAsia="sk-SK"/>
        </w:rPr>
        <w:t xml:space="preserve">  </w:t>
      </w:r>
      <w:r w:rsidRPr="00FD3759">
        <w:rPr>
          <w:rFonts w:ascii="Calibri" w:eastAsia="Times New Roman" w:hAnsi="Calibri" w:cs="Calibri"/>
          <w:bCs/>
          <w:color w:val="000000"/>
          <w:szCs w:val="20"/>
          <w:lang w:eastAsia="sk-SK"/>
        </w:rPr>
        <w:t>Dopady ZK (kód) -</w:t>
      </w:r>
      <w:r w:rsidRPr="00FD3759">
        <w:rPr>
          <w:rFonts w:ascii="Calibri" w:eastAsia="Times New Roman" w:hAnsi="Calibri" w:cs="Calibri"/>
          <w:b/>
          <w:bCs/>
          <w:color w:val="000000"/>
          <w:szCs w:val="20"/>
          <w:lang w:eastAsia="sk-SK"/>
        </w:rPr>
        <w:t xml:space="preserve"> Súčasná zraniteľnosť produktov CR</w:t>
      </w:r>
      <w:r>
        <w:rPr>
          <w:rFonts w:ascii="Calibri" w:eastAsia="Times New Roman" w:hAnsi="Calibri" w:cs="Calibri"/>
          <w:b/>
          <w:bCs/>
          <w:color w:val="000000"/>
          <w:szCs w:val="20"/>
          <w:lang w:eastAsia="sk-SK"/>
        </w:rPr>
        <w:t xml:space="preserve"> (a)</w:t>
      </w:r>
      <w:r>
        <w:rPr>
          <w:rFonts w:cstheme="minorHAnsi"/>
          <w:color w:val="1D1D1B"/>
          <w:sz w:val="24"/>
        </w:rPr>
        <w:t xml:space="preserve">. Súčasťou tohto stĺpca je aj priradená </w:t>
      </w:r>
      <w:r w:rsidRPr="00F708CD">
        <w:rPr>
          <w:rFonts w:cstheme="minorHAnsi"/>
          <w:b/>
          <w:color w:val="1D1D1B"/>
          <w:sz w:val="24"/>
        </w:rPr>
        <w:t>kategória súčasnej klimatickej zraniteľnosti</w:t>
      </w:r>
      <w:r>
        <w:rPr>
          <w:rFonts w:cstheme="minorHAnsi"/>
          <w:color w:val="1D1D1B"/>
          <w:sz w:val="24"/>
        </w:rPr>
        <w:t xml:space="preserve"> produktov CR (0=minimálna alebo veľmi nízka klimatická zraniteľnosť, 1=mierna klimatická zraniteľnosť, 2=významná klimatická zraniteľnosť. Stĺpec (b) vyjadruje kategóriu odborne odhadnutého </w:t>
      </w:r>
      <w:r w:rsidRPr="006E70D4">
        <w:rPr>
          <w:rFonts w:cstheme="minorHAnsi"/>
          <w:b/>
          <w:color w:val="1D1D1B"/>
          <w:sz w:val="24"/>
        </w:rPr>
        <w:t>dopytu</w:t>
      </w:r>
      <w:r>
        <w:rPr>
          <w:rStyle w:val="Odkaznapoznmkupodiarou"/>
          <w:rFonts w:cstheme="minorHAnsi"/>
          <w:color w:val="1D1D1B"/>
          <w:sz w:val="24"/>
        </w:rPr>
        <w:footnoteReference w:id="4"/>
      </w:r>
      <w:r>
        <w:rPr>
          <w:rFonts w:cstheme="minorHAnsi"/>
          <w:color w:val="1D1D1B"/>
          <w:sz w:val="24"/>
        </w:rPr>
        <w:t xml:space="preserve">, teda atraktivity, záujmu a návštevnosti produktov CR (1=nízky, 2=stredný, 3=vysoký dopyt). Stĺpec (c) predstavuje Priamy </w:t>
      </w:r>
      <w:r>
        <w:rPr>
          <w:rFonts w:ascii="Calibri" w:eastAsia="Times New Roman" w:hAnsi="Calibri" w:cs="Calibri"/>
          <w:b/>
          <w:bCs/>
          <w:color w:val="000000"/>
          <w:szCs w:val="20"/>
          <w:lang w:eastAsia="sk-SK"/>
        </w:rPr>
        <w:t>e</w:t>
      </w:r>
      <w:r w:rsidRPr="006E70D4">
        <w:rPr>
          <w:rFonts w:ascii="Calibri" w:eastAsia="Times New Roman" w:hAnsi="Calibri" w:cs="Calibri"/>
          <w:b/>
          <w:bCs/>
          <w:color w:val="000000"/>
          <w:szCs w:val="20"/>
          <w:lang w:eastAsia="sk-SK"/>
        </w:rPr>
        <w:t xml:space="preserve">konomický prínos produktu CR </w:t>
      </w:r>
      <w:r w:rsidRPr="006E70D4">
        <w:rPr>
          <w:rFonts w:ascii="Calibri" w:eastAsia="Times New Roman" w:hAnsi="Calibri" w:cs="Calibri"/>
          <w:color w:val="000000"/>
          <w:szCs w:val="20"/>
          <w:lang w:eastAsia="sk-SK"/>
        </w:rPr>
        <w:t>(pracovné miesta</w:t>
      </w:r>
      <w:r>
        <w:rPr>
          <w:rFonts w:ascii="Calibri" w:eastAsia="Times New Roman" w:hAnsi="Calibri" w:cs="Calibri"/>
          <w:color w:val="000000"/>
          <w:szCs w:val="20"/>
          <w:lang w:eastAsia="sk-SK"/>
        </w:rPr>
        <w:t>, ktoré sa priamo viažu na predmetný produkt CR</w:t>
      </w:r>
      <w:r w:rsidRPr="006E70D4">
        <w:rPr>
          <w:rFonts w:ascii="Calibri" w:eastAsia="Times New Roman" w:hAnsi="Calibri" w:cs="Calibri"/>
          <w:color w:val="000000"/>
          <w:szCs w:val="20"/>
          <w:lang w:eastAsia="sk-SK"/>
        </w:rPr>
        <w:t xml:space="preserve">, </w:t>
      </w:r>
      <w:r>
        <w:rPr>
          <w:rFonts w:ascii="Calibri" w:eastAsia="Times New Roman" w:hAnsi="Calibri" w:cs="Calibri"/>
          <w:color w:val="000000"/>
          <w:szCs w:val="20"/>
          <w:lang w:eastAsia="sk-SK"/>
        </w:rPr>
        <w:t>existencia poplatku za vstup, využitie produktových služieb; 1=nízky</w:t>
      </w:r>
      <w:r w:rsidRPr="006E70D4">
        <w:rPr>
          <w:rFonts w:ascii="Calibri" w:eastAsia="Times New Roman" w:hAnsi="Calibri" w:cs="Calibri"/>
          <w:color w:val="000000"/>
          <w:szCs w:val="20"/>
          <w:lang w:eastAsia="sk-SK"/>
        </w:rPr>
        <w:t>, 2</w:t>
      </w:r>
      <w:r>
        <w:rPr>
          <w:rFonts w:ascii="Calibri" w:eastAsia="Times New Roman" w:hAnsi="Calibri" w:cs="Calibri"/>
          <w:color w:val="000000"/>
          <w:szCs w:val="20"/>
          <w:lang w:eastAsia="sk-SK"/>
        </w:rPr>
        <w:t>=</w:t>
      </w:r>
      <w:r w:rsidRPr="006E70D4">
        <w:rPr>
          <w:rFonts w:ascii="Calibri" w:eastAsia="Times New Roman" w:hAnsi="Calibri" w:cs="Calibri"/>
          <w:color w:val="000000"/>
          <w:szCs w:val="20"/>
          <w:lang w:eastAsia="sk-SK"/>
        </w:rPr>
        <w:t>stredný, 1</w:t>
      </w:r>
      <w:r>
        <w:rPr>
          <w:rFonts w:ascii="Calibri" w:eastAsia="Times New Roman" w:hAnsi="Calibri" w:cs="Calibri"/>
          <w:color w:val="000000"/>
          <w:szCs w:val="20"/>
          <w:lang w:eastAsia="sk-SK"/>
        </w:rPr>
        <w:t xml:space="preserve">=vysoký). Posledný stĺpec (d) predstavuje </w:t>
      </w:r>
      <w:r w:rsidRPr="00D9228B">
        <w:rPr>
          <w:rFonts w:ascii="Calibri" w:eastAsia="Times New Roman" w:hAnsi="Calibri" w:cs="Calibri"/>
          <w:b/>
          <w:bCs/>
          <w:color w:val="000000"/>
          <w:lang w:eastAsia="sk-SK"/>
        </w:rPr>
        <w:t xml:space="preserve">Významnosť  produktu CR </w:t>
      </w:r>
      <w:r w:rsidRPr="00D9228B">
        <w:rPr>
          <w:rFonts w:ascii="Calibri" w:eastAsia="Times New Roman" w:hAnsi="Calibri" w:cs="Calibri"/>
          <w:bCs/>
          <w:color w:val="000000"/>
          <w:lang w:eastAsia="sk-SK"/>
        </w:rPr>
        <w:t>a je získaná ako aritmetický  priemer z dvoch predchádzajúcich stĺpcov {(b)+(c)}/2.</w:t>
      </w:r>
      <w:r>
        <w:rPr>
          <w:rFonts w:ascii="Calibri" w:eastAsia="Times New Roman" w:hAnsi="Calibri" w:cs="Calibri"/>
          <w:bCs/>
          <w:color w:val="000000"/>
          <w:lang w:eastAsia="sk-SK"/>
        </w:rPr>
        <w:t xml:space="preserve"> </w:t>
      </w:r>
    </w:p>
    <w:p w14:paraId="13EBFC11" w14:textId="77777777" w:rsidR="002B705C" w:rsidRPr="00446F6B" w:rsidRDefault="002B705C" w:rsidP="002B705C">
      <w:pPr>
        <w:pStyle w:val="Odsekzoznamu"/>
        <w:spacing w:line="276" w:lineRule="auto"/>
        <w:jc w:val="both"/>
      </w:pPr>
    </w:p>
    <w:p w14:paraId="5F31CE0C" w14:textId="77777777" w:rsidR="002B705C" w:rsidRDefault="002B705C" w:rsidP="00E30BB1">
      <w:pPr>
        <w:pStyle w:val="Nadpis3"/>
        <w:numPr>
          <w:ilvl w:val="2"/>
          <w:numId w:val="5"/>
        </w:numPr>
      </w:pPr>
      <w:bookmarkStart w:id="18" w:name="_Toc509383583"/>
      <w:r>
        <w:t>Záver z analýzy produktov v CR v NP Slovenský raj vzhľadom na dopady zmeny klímy</w:t>
      </w:r>
      <w:bookmarkEnd w:id="18"/>
    </w:p>
    <w:p w14:paraId="14BA9334" w14:textId="77777777" w:rsidR="002B705C" w:rsidRPr="00C02DFA" w:rsidRDefault="002B705C" w:rsidP="002B705C"/>
    <w:p w14:paraId="749C4BF5" w14:textId="77777777" w:rsidR="004B1AAA" w:rsidRDefault="004B1AAA" w:rsidP="004B1AAA">
      <w:pPr>
        <w:spacing w:line="276" w:lineRule="auto"/>
        <w:jc w:val="both"/>
      </w:pPr>
      <w:r>
        <w:t>Predchádzajúca analýza produktov CR je názorne zhrnutá aj grafickým spôsobom (Obrázok 8). Sú  do nej zahrnuté všetky identifikované produkty CR (tabuľka 10 a 11, kapitola 4.2), ktoré sa vyskytujú v NP Slovenský raj, vrátane produktov CR s možnosťou využívania počas celého roku (návšteva historických pamiatok a návšteva podujatí a festivalov.</w:t>
      </w:r>
    </w:p>
    <w:p w14:paraId="2B1AFF0D" w14:textId="77777777" w:rsidR="004B1AAA" w:rsidRDefault="004B1AAA" w:rsidP="004B1AAA">
      <w:pPr>
        <w:spacing w:line="276" w:lineRule="auto"/>
        <w:jc w:val="both"/>
      </w:pPr>
      <w:r>
        <w:t xml:space="preserve">Produkty cestovného ruchu boli spojené s ich úrovňou klimatickej zraniteľnosti, ich sezónnym zameraním a ich významnosťou. Významnosť produktu (stĺpec (d) z tabuliek 10 a 11) je zobrazený vo forme veľkosti bublín a klimatická zraniteľnosť produktu (stĺpec (a) z tabuliek 10 a 11) je zobrazená vertikálnym umiestnením bubliny vo vnútri grafu. Čím je bublina (produkt CR) umiestnený vyššie, tým je zraniteľnejší. </w:t>
      </w:r>
    </w:p>
    <w:p w14:paraId="45B751BD" w14:textId="77777777" w:rsidR="004B1AAA" w:rsidRDefault="004B1AAA" w:rsidP="004B1AAA">
      <w:pPr>
        <w:spacing w:line="276" w:lineRule="auto"/>
        <w:jc w:val="both"/>
      </w:pPr>
      <w:r>
        <w:t xml:space="preserve">Z tohto pohľadu je počas letnej sezóny najzraniteľnejšie splavovanie riek a letná turistika v roklinách a počas zimnej sezóny zjazdové lyžovanie, bežecké lyžovanie, prechod prielomu Hornádu, ľadolezenie a zimné športy na ľade. Do skupiny najviac klimaticky zraniteľných a zároveň najvýznamnejších produktov CR spadajú zjazdové lyžovanie, splavovanie riek a letná turistika v roklinách. </w:t>
      </w:r>
    </w:p>
    <w:p w14:paraId="2566AED9" w14:textId="77777777" w:rsidR="002B705C" w:rsidRDefault="002B705C" w:rsidP="002B705C">
      <w:pPr>
        <w:keepNext/>
        <w:spacing w:line="276" w:lineRule="auto"/>
        <w:jc w:val="both"/>
      </w:pPr>
      <w:r>
        <w:rPr>
          <w:noProof/>
          <w:lang w:val="en-GB" w:eastAsia="en-GB"/>
        </w:rPr>
        <w:drawing>
          <wp:inline distT="0" distB="0" distL="0" distR="0" wp14:anchorId="7B5408B7" wp14:editId="61DF59DA">
            <wp:extent cx="6402986" cy="413385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nalyza.ponuky.png"/>
                    <pic:cNvPicPr/>
                  </pic:nvPicPr>
                  <pic:blipFill>
                    <a:blip r:embed="rId35">
                      <a:extLst>
                        <a:ext uri="{28A0092B-C50C-407E-A947-70E740481C1C}">
                          <a14:useLocalDpi xmlns:a14="http://schemas.microsoft.com/office/drawing/2010/main" val="0"/>
                        </a:ext>
                      </a:extLst>
                    </a:blip>
                    <a:stretch>
                      <a:fillRect/>
                    </a:stretch>
                  </pic:blipFill>
                  <pic:spPr>
                    <a:xfrm>
                      <a:off x="0" y="0"/>
                      <a:ext cx="6410288" cy="4138564"/>
                    </a:xfrm>
                    <a:prstGeom prst="rect">
                      <a:avLst/>
                    </a:prstGeom>
                  </pic:spPr>
                </pic:pic>
              </a:graphicData>
            </a:graphic>
          </wp:inline>
        </w:drawing>
      </w:r>
    </w:p>
    <w:p w14:paraId="3182A07F" w14:textId="2AB7832C" w:rsidR="002B705C" w:rsidRPr="00D37790" w:rsidRDefault="002B705C" w:rsidP="00D37790">
      <w:pPr>
        <w:pStyle w:val="Popis"/>
        <w:jc w:val="both"/>
        <w:rPr>
          <w:b/>
          <w:i w:val="0"/>
          <w:color w:val="auto"/>
        </w:rPr>
      </w:pPr>
      <w:r w:rsidRPr="007E4C4E">
        <w:rPr>
          <w:b/>
          <w:i w:val="0"/>
          <w:color w:val="auto"/>
        </w:rPr>
        <w:t xml:space="preserve">Obrázok </w:t>
      </w:r>
      <w:r w:rsidRPr="007E4C4E">
        <w:rPr>
          <w:b/>
          <w:i w:val="0"/>
          <w:color w:val="auto"/>
        </w:rPr>
        <w:fldChar w:fldCharType="begin"/>
      </w:r>
      <w:r w:rsidRPr="007E4C4E">
        <w:rPr>
          <w:b/>
          <w:i w:val="0"/>
          <w:color w:val="auto"/>
        </w:rPr>
        <w:instrText xml:space="preserve"> SEQ Obrázok \* ARABIC </w:instrText>
      </w:r>
      <w:r w:rsidRPr="007E4C4E">
        <w:rPr>
          <w:b/>
          <w:i w:val="0"/>
          <w:color w:val="auto"/>
        </w:rPr>
        <w:fldChar w:fldCharType="separate"/>
      </w:r>
      <w:r w:rsidR="006F524D">
        <w:rPr>
          <w:b/>
          <w:i w:val="0"/>
          <w:noProof/>
          <w:color w:val="auto"/>
        </w:rPr>
        <w:t>8</w:t>
      </w:r>
      <w:r w:rsidRPr="007E4C4E">
        <w:rPr>
          <w:b/>
          <w:i w:val="0"/>
          <w:color w:val="auto"/>
        </w:rPr>
        <w:fldChar w:fldCharType="end"/>
      </w:r>
      <w:r w:rsidRPr="007E4C4E">
        <w:rPr>
          <w:b/>
          <w:i w:val="0"/>
          <w:color w:val="auto"/>
        </w:rPr>
        <w:t>. Klimatická zraniteľnosť produktov CR v zimnej a letnej sezóne</w:t>
      </w:r>
      <w:r>
        <w:rPr>
          <w:b/>
          <w:i w:val="0"/>
          <w:color w:val="auto"/>
        </w:rPr>
        <w:t xml:space="preserve"> v NP Slovenský raj.</w:t>
      </w:r>
      <w:r w:rsidRPr="007E4C4E">
        <w:rPr>
          <w:b/>
          <w:i w:val="0"/>
          <w:color w:val="auto"/>
        </w:rPr>
        <w:t xml:space="preserve"> </w:t>
      </w:r>
      <w:bookmarkStart w:id="19" w:name="_GoBack"/>
      <w:r w:rsidRPr="007E4C4E">
        <w:rPr>
          <w:b/>
          <w:i w:val="0"/>
          <w:color w:val="auto"/>
        </w:rPr>
        <w:t xml:space="preserve">Veľkosť bubliny predstavuje </w:t>
      </w:r>
      <w:r>
        <w:rPr>
          <w:b/>
          <w:i w:val="0"/>
          <w:color w:val="auto"/>
        </w:rPr>
        <w:t>významnosť produktu CR</w:t>
      </w:r>
      <w:bookmarkEnd w:id="19"/>
      <w:r>
        <w:rPr>
          <w:b/>
          <w:i w:val="0"/>
          <w:color w:val="auto"/>
        </w:rPr>
        <w:t>, vertikálna os predstavuje klimatickú zraniteľnosť. Zdroj: Vlastné spracovanie KRI, 2018.</w:t>
      </w:r>
    </w:p>
    <w:p w14:paraId="16A44A28" w14:textId="2D81F89E" w:rsidR="0078181B" w:rsidRDefault="0078181B" w:rsidP="0078181B">
      <w:pPr>
        <w:spacing w:line="276" w:lineRule="auto"/>
        <w:jc w:val="both"/>
      </w:pPr>
    </w:p>
    <w:p w14:paraId="6E2B8AC8" w14:textId="50C770D7" w:rsidR="0078181B" w:rsidRDefault="00510682" w:rsidP="00E30BB1">
      <w:pPr>
        <w:pStyle w:val="Nadpis2"/>
        <w:numPr>
          <w:ilvl w:val="1"/>
          <w:numId w:val="5"/>
        </w:numPr>
      </w:pPr>
      <w:r>
        <w:lastRenderedPageBreak/>
        <w:t xml:space="preserve"> </w:t>
      </w:r>
      <w:bookmarkStart w:id="20" w:name="_Toc509383584"/>
      <w:r w:rsidR="0078181B">
        <w:t>Možné adaptačné riešenia</w:t>
      </w:r>
      <w:r>
        <w:t xml:space="preserve"> pre cestovný ruch v NP Slovenský raj</w:t>
      </w:r>
      <w:bookmarkEnd w:id="20"/>
    </w:p>
    <w:p w14:paraId="0E40CACA" w14:textId="66B06353" w:rsidR="009B2E6A" w:rsidRDefault="009B2E6A" w:rsidP="009B2E6A"/>
    <w:p w14:paraId="17DF4CFC" w14:textId="4D96E3E9" w:rsidR="009B2E6A" w:rsidRDefault="009B2E6A" w:rsidP="009B2E6A">
      <w:pPr>
        <w:pStyle w:val="Nadpis3"/>
        <w:numPr>
          <w:ilvl w:val="2"/>
          <w:numId w:val="5"/>
        </w:numPr>
      </w:pPr>
      <w:bookmarkStart w:id="21" w:name="_Toc509383585"/>
      <w:r>
        <w:t xml:space="preserve">Adaptačné opatrenia v oblasti </w:t>
      </w:r>
      <w:r w:rsidR="00C4397D">
        <w:t>bio</w:t>
      </w:r>
      <w:r>
        <w:t>diverzity</w:t>
      </w:r>
      <w:bookmarkEnd w:id="21"/>
    </w:p>
    <w:p w14:paraId="29861B22" w14:textId="18CBC11E" w:rsidR="009B2E6A" w:rsidRDefault="009B2E6A" w:rsidP="009B2E6A"/>
    <w:p w14:paraId="786A702F" w14:textId="77777777" w:rsidR="00771BF9" w:rsidRDefault="00CE00A6" w:rsidP="007205FB">
      <w:pPr>
        <w:spacing w:line="276" w:lineRule="auto"/>
        <w:jc w:val="both"/>
      </w:pPr>
      <w:r>
        <w:t>NP Slovenský raj je charakteristický</w:t>
      </w:r>
      <w:r w:rsidR="00503D83">
        <w:t xml:space="preserve"> svojou</w:t>
      </w:r>
      <w:r>
        <w:t xml:space="preserve"> vysokou druhovou biodiverzitou, ktorá je okrem </w:t>
      </w:r>
      <w:r w:rsidR="00F73CA0">
        <w:t xml:space="preserve">dopadov </w:t>
      </w:r>
      <w:r>
        <w:t>priamej ľudskej činnosti, ohrozen</w:t>
      </w:r>
      <w:r w:rsidR="001B0088">
        <w:t>á</w:t>
      </w:r>
      <w:r>
        <w:t xml:space="preserve"> aj zmenou klímy.</w:t>
      </w:r>
      <w:r w:rsidR="009F7F09">
        <w:t xml:space="preserve"> Ochrana a zachovanie biodiverzity je pritom jeden z kľúčových predpokladov pre samotnú existenciu národných parkov</w:t>
      </w:r>
      <w:r w:rsidR="00F73CA0">
        <w:t>,</w:t>
      </w:r>
      <w:r w:rsidR="009F7F09">
        <w:t xml:space="preserve"> a tým aj pre </w:t>
      </w:r>
      <w:r w:rsidR="00771BF9">
        <w:t>CR</w:t>
      </w:r>
      <w:r w:rsidR="009F7F09">
        <w:t xml:space="preserve"> v národných parkoch</w:t>
      </w:r>
      <w:r w:rsidR="008F69D7">
        <w:t xml:space="preserve">. </w:t>
      </w:r>
    </w:p>
    <w:p w14:paraId="4735B0FE" w14:textId="1EB3F27D" w:rsidR="003C67F2" w:rsidRDefault="00F44FA1" w:rsidP="007205FB">
      <w:pPr>
        <w:spacing w:line="276" w:lineRule="auto"/>
        <w:jc w:val="both"/>
      </w:pPr>
      <w:r>
        <w:t>Adaptačné opatrenia sú rozhodujúcim nástrojom pre zmierňovanie dopad</w:t>
      </w:r>
      <w:r w:rsidR="009F7F09">
        <w:t>ov</w:t>
      </w:r>
      <w:r>
        <w:t xml:space="preserve"> </w:t>
      </w:r>
      <w:r w:rsidR="009F7F09">
        <w:t>zmeny klímy</w:t>
      </w:r>
      <w:r>
        <w:t xml:space="preserve"> na biodiverzitu. Systém však dokáže fungovať aj obráteným spôsobom. Lebo vysoký stupeň biodiverzity, prináša relatívne vysokú plasticitu niektorých ekosystémov (napr. lesných ekosystémov) čo v konečnom dôsledku zvyšuje pravdepodobnosť adaptability ekosystému na zmenu klímy pri relatívne malom dopade na biodiverzity. </w:t>
      </w:r>
    </w:p>
    <w:p w14:paraId="343376A1" w14:textId="77777777" w:rsidR="007205FB" w:rsidRDefault="007205FB" w:rsidP="007205FB">
      <w:pPr>
        <w:spacing w:line="276" w:lineRule="auto"/>
        <w:jc w:val="both"/>
      </w:pPr>
      <w:r>
        <w:t xml:space="preserve">Úsilie pre zmiernenie nepriaznivých dôsledkov zmeny klímy a zvyšovanie adaptačnej schopnosti biodiverzity, ekosystémov, biotopov, druhov organizmov a ich spoločenstiev, zachovanie ich štruktúry a podpora ich stability a odolnosti pomôže biodiverzite prežívať a adaptovať sa. Ak chceme úspešne čeliť dôsledkom zmeny klímy, bude potrebný dynamickejší prístup k ochrane prírody. Kvôli rýchlosti a rozsahu zmeny klímy totiž nie je možné prevziať poznatky a návody z minulosti pre budúce riešenia pre adaptáciu (alebo len v obmedzenej miere). Potrebné je: </w:t>
      </w:r>
    </w:p>
    <w:p w14:paraId="784F6A03" w14:textId="7986FAEF" w:rsidR="007205FB" w:rsidRDefault="007205FB" w:rsidP="007205FB">
      <w:pPr>
        <w:pStyle w:val="Odsekzoznamu"/>
        <w:numPr>
          <w:ilvl w:val="1"/>
          <w:numId w:val="31"/>
        </w:numPr>
        <w:spacing w:line="276" w:lineRule="auto"/>
        <w:jc w:val="both"/>
      </w:pPr>
      <w:r>
        <w:t xml:space="preserve">vytvoriť podmienky pre dynamickejší prístup v ochrane prírody v legislatívnej a organizačnej oblasti a zabezpečiť schopnosť reagovať na meniace sa priority v ochrane prírody, </w:t>
      </w:r>
    </w:p>
    <w:p w14:paraId="1C8945E8" w14:textId="1F4C7E58" w:rsidR="007205FB" w:rsidRDefault="007205FB" w:rsidP="007205FB">
      <w:pPr>
        <w:pStyle w:val="Odsekzoznamu"/>
        <w:numPr>
          <w:ilvl w:val="1"/>
          <w:numId w:val="31"/>
        </w:numPr>
        <w:spacing w:line="276" w:lineRule="auto"/>
        <w:jc w:val="both"/>
      </w:pPr>
      <w:r>
        <w:t xml:space="preserve">vykonať hodnotenie zraniteľnosti biodiverzity a súvisiacich ekosystémových služieb, ktoré pomôže pri identifikovaní priorít a rozpracovaní potrebných opatrení, </w:t>
      </w:r>
    </w:p>
    <w:p w14:paraId="465677C5" w14:textId="4183DF13" w:rsidR="007205FB" w:rsidRDefault="007205FB" w:rsidP="007205FB">
      <w:pPr>
        <w:pStyle w:val="Odsekzoznamu"/>
        <w:numPr>
          <w:ilvl w:val="1"/>
          <w:numId w:val="31"/>
        </w:numPr>
        <w:spacing w:line="276" w:lineRule="auto"/>
        <w:jc w:val="both"/>
      </w:pPr>
      <w:r>
        <w:t xml:space="preserve">zlepšiť pochopenie úlohy biodiverzity v adaptácii, </w:t>
      </w:r>
    </w:p>
    <w:p w14:paraId="1F1F5983" w14:textId="38F522B7" w:rsidR="007205FB" w:rsidRDefault="007205FB" w:rsidP="007205FB">
      <w:pPr>
        <w:pStyle w:val="Odsekzoznamu"/>
        <w:numPr>
          <w:ilvl w:val="1"/>
          <w:numId w:val="31"/>
        </w:numPr>
        <w:spacing w:line="276" w:lineRule="auto"/>
        <w:jc w:val="both"/>
      </w:pPr>
      <w:r>
        <w:t xml:space="preserve">monitorovať výsledky nových prístupov. </w:t>
      </w:r>
    </w:p>
    <w:p w14:paraId="405EC196" w14:textId="77777777" w:rsidR="007205FB" w:rsidRDefault="007205FB" w:rsidP="007205FB">
      <w:pPr>
        <w:spacing w:line="276" w:lineRule="auto"/>
        <w:jc w:val="both"/>
      </w:pPr>
      <w:r>
        <w:t xml:space="preserve">Prírodné ekosystémy patria medzi najľahšie dostupné a nákladovo efektívne nástroje na prispôsobenie sa dôsledkom zmeny klímy. Adaptácia založená na ekosystémovom prístupe (ecosystem based adaptation) môže do značnej miery zvýšiť odolnosť ekosystémov a rastlinných 29 a živočíšnych druhov voči dôsledkom zmeny klímy a prispieť k zlepšeniu zdravia ekosystémov. Nezanedbateľný je jej pozitívny vplyv na niekoľko oblasti a sektorov, ktoré potrebujú adaptovať sa na zmenené klimatické podmienky, ako napr. lesníctvo, poľnohospodárstvo, vodné hospodárstvo a ďalšie. Preto Stratégia EÚ pre adaptáciu na zmenu klímy (2013) medzi adaptačné riešenia, ktoré sú vhodné pre všetkých, finančne nenáročné a bez ďalších negatívnych dôsledkov, zaradila adaptačné prístupy založené na ekosystémoch a ich službách. Zabezpečením trvalo udržateľného obhospodarovania lesov, udržiavaním, zvýšením výmery alebo obnovou prírode blízkych lesov, využitím stabilizujúcich krajinných štruktúr, ochranou a zveľaďovaním siete chránených území a zelenej infraštruktúry, a implementáciou vodozádržných opatrení s účelom zmierňovať rozsiahle povodne a vplyvy sucha sa zvýši adaptačná schopnosť celej ľudskej spoločnosti. </w:t>
      </w:r>
    </w:p>
    <w:p w14:paraId="326F2561" w14:textId="77777777" w:rsidR="007205FB" w:rsidRDefault="007205FB" w:rsidP="007205FB">
      <w:pPr>
        <w:spacing w:line="276" w:lineRule="auto"/>
        <w:jc w:val="both"/>
      </w:pPr>
      <w:r>
        <w:t xml:space="preserve">Opatrenia na zvýšenie adaptačnej schopnosti sú: </w:t>
      </w:r>
    </w:p>
    <w:p w14:paraId="482A0ADA" w14:textId="0DEC2E0A" w:rsidR="007205FB" w:rsidRDefault="007205FB" w:rsidP="007205FB">
      <w:pPr>
        <w:pStyle w:val="Odsekzoznamu"/>
        <w:numPr>
          <w:ilvl w:val="0"/>
          <w:numId w:val="33"/>
        </w:numPr>
        <w:spacing w:line="276" w:lineRule="auto"/>
        <w:jc w:val="both"/>
      </w:pPr>
      <w:r>
        <w:lastRenderedPageBreak/>
        <w:t xml:space="preserve">ochrana ekologickej stability a variability, udržiavanie a revitalizovanie ekologických sietí a tvorba nových ekologických sietí, tvorba nárazníkových zón okolo vysoko kvalitných biotopov, </w:t>
      </w:r>
    </w:p>
    <w:p w14:paraId="627A6FCE" w14:textId="2B0CD0BB" w:rsidR="007205FB" w:rsidRDefault="007205FB" w:rsidP="007205FB">
      <w:pPr>
        <w:pStyle w:val="Odsekzoznamu"/>
        <w:numPr>
          <w:ilvl w:val="0"/>
          <w:numId w:val="33"/>
        </w:numPr>
        <w:spacing w:line="276" w:lineRule="auto"/>
        <w:jc w:val="both"/>
      </w:pPr>
      <w:r>
        <w:t xml:space="preserve">preskúmanie stavu, posilnenie resp. doplnenie sústavy chránených území podľa požiadaviek EÚ a v zmysle medzinárodných štandardov, </w:t>
      </w:r>
    </w:p>
    <w:p w14:paraId="7FA76F0C" w14:textId="3BF964C7" w:rsidR="007205FB" w:rsidRDefault="007205FB" w:rsidP="007205FB">
      <w:pPr>
        <w:pStyle w:val="Odsekzoznamu"/>
        <w:numPr>
          <w:ilvl w:val="0"/>
          <w:numId w:val="33"/>
        </w:numPr>
        <w:spacing w:line="276" w:lineRule="auto"/>
        <w:jc w:val="both"/>
      </w:pPr>
      <w:r>
        <w:t xml:space="preserve">umožnenie prírodného vývoja biotopov a zabránenie úbytku a fragmentácii biotopov, </w:t>
      </w:r>
    </w:p>
    <w:p w14:paraId="01245E3A" w14:textId="4D3826D0" w:rsidR="007205FB" w:rsidRDefault="007205FB" w:rsidP="007205FB">
      <w:pPr>
        <w:pStyle w:val="Odsekzoznamu"/>
        <w:numPr>
          <w:ilvl w:val="0"/>
          <w:numId w:val="33"/>
        </w:numPr>
        <w:spacing w:line="276" w:lineRule="auto"/>
        <w:jc w:val="both"/>
      </w:pPr>
      <w:r>
        <w:t xml:space="preserve">kombinácia vhodného územného plánovania, alebo revitalizácie ekosystémov s cieľom zvýšiť ich ochrannú kapacitu, </w:t>
      </w:r>
    </w:p>
    <w:p w14:paraId="4895BBAF" w14:textId="7EE89D45" w:rsidR="007205FB" w:rsidRDefault="007205FB" w:rsidP="007205FB">
      <w:pPr>
        <w:pStyle w:val="Odsekzoznamu"/>
        <w:numPr>
          <w:ilvl w:val="0"/>
          <w:numId w:val="33"/>
        </w:numPr>
        <w:spacing w:line="276" w:lineRule="auto"/>
        <w:jc w:val="both"/>
      </w:pPr>
      <w:r>
        <w:t xml:space="preserve">vytváranie pestrých krajinných štruktúr a krajinnej pokrývky poľnohospodárskej a lesnej krajiny na riešenie zvyšujúcich sa rizík vyplývajúcich z meniacich sa klimatických podmienok, </w:t>
      </w:r>
    </w:p>
    <w:p w14:paraId="50ABA61B" w14:textId="5C905A34" w:rsidR="007205FB" w:rsidRDefault="007205FB" w:rsidP="007205FB">
      <w:pPr>
        <w:pStyle w:val="Odsekzoznamu"/>
        <w:numPr>
          <w:ilvl w:val="0"/>
          <w:numId w:val="33"/>
        </w:numPr>
        <w:spacing w:line="276" w:lineRule="auto"/>
        <w:jc w:val="both"/>
      </w:pPr>
      <w:r>
        <w:t xml:space="preserve">ochrana biodiverzity v pôdohospodárstve pre zabezpečenie osobitných genetických zdrojov pre adaptáciu poľnohospodárskych plodín, hospodárskych zvierat a lesných drevín na zmenu klímy (s dôrazom na tradičné a lokálne druhy, ktoré sú najviac adaptované na lokálne klimatické aj ekologické podmienky), </w:t>
      </w:r>
    </w:p>
    <w:p w14:paraId="5BCE2228" w14:textId="17061FAC" w:rsidR="007205FB" w:rsidRDefault="007205FB" w:rsidP="007205FB">
      <w:pPr>
        <w:pStyle w:val="Odsekzoznamu"/>
        <w:numPr>
          <w:ilvl w:val="0"/>
          <w:numId w:val="33"/>
        </w:numPr>
        <w:spacing w:line="276" w:lineRule="auto"/>
        <w:jc w:val="both"/>
      </w:pPr>
      <w:r>
        <w:t xml:space="preserve">optimálne využívanie drevín v poľnohospodárskej krajine a overovanie potenciálu agrolesníckych systémov („agroforestry“), </w:t>
      </w:r>
    </w:p>
    <w:p w14:paraId="627FAF72" w14:textId="07306072" w:rsidR="007205FB" w:rsidRDefault="007205FB" w:rsidP="007205FB">
      <w:pPr>
        <w:pStyle w:val="Odsekzoznamu"/>
        <w:numPr>
          <w:ilvl w:val="0"/>
          <w:numId w:val="33"/>
        </w:numPr>
        <w:spacing w:line="276" w:lineRule="auto"/>
        <w:jc w:val="both"/>
      </w:pPr>
      <w:r>
        <w:t xml:space="preserve">ochrana a revitalizácia prírodných lesov, udržateľné hospodárenie v lesoch, </w:t>
      </w:r>
    </w:p>
    <w:p w14:paraId="65F0AFEE" w14:textId="625BE8CB" w:rsidR="007205FB" w:rsidRDefault="007205FB" w:rsidP="007205FB">
      <w:pPr>
        <w:pStyle w:val="Odsekzoznamu"/>
        <w:numPr>
          <w:ilvl w:val="0"/>
          <w:numId w:val="33"/>
        </w:numPr>
        <w:spacing w:line="276" w:lineRule="auto"/>
        <w:jc w:val="both"/>
      </w:pPr>
      <w:r>
        <w:t>prísna ochrana zostávajúcich zvyškov divokej prírody a vhodný manažment v ich ochranných pásmach</w:t>
      </w:r>
    </w:p>
    <w:p w14:paraId="12C11F55" w14:textId="590CA889" w:rsidR="007205FB" w:rsidRDefault="007205FB" w:rsidP="007205FB">
      <w:pPr>
        <w:pStyle w:val="Odsekzoznamu"/>
        <w:numPr>
          <w:ilvl w:val="0"/>
          <w:numId w:val="33"/>
        </w:numPr>
        <w:spacing w:line="276" w:lineRule="auto"/>
        <w:jc w:val="both"/>
      </w:pPr>
      <w:r>
        <w:t xml:space="preserve">dôsledné a systémovo riešené odstraňovanie inváznych nepôvodných druhov, </w:t>
      </w:r>
    </w:p>
    <w:p w14:paraId="26DBAE7C" w14:textId="46CED0E3" w:rsidR="007205FB" w:rsidRDefault="007205FB" w:rsidP="007205FB">
      <w:pPr>
        <w:pStyle w:val="Odsekzoznamu"/>
        <w:numPr>
          <w:ilvl w:val="0"/>
          <w:numId w:val="33"/>
        </w:numPr>
        <w:spacing w:line="276" w:lineRule="auto"/>
        <w:jc w:val="both"/>
      </w:pPr>
      <w:r>
        <w:t xml:space="preserve">opatrenia na stabilizáciu svahov a lepší manažment prietokov v čase nedostatku, ale aj nadbytku vody so zohľadnením ekosystémového prístupu, </w:t>
      </w:r>
    </w:p>
    <w:p w14:paraId="215E66FB" w14:textId="5F66B736" w:rsidR="007205FB" w:rsidRDefault="007205FB" w:rsidP="007205FB">
      <w:pPr>
        <w:pStyle w:val="Odsekzoznamu"/>
        <w:numPr>
          <w:ilvl w:val="0"/>
          <w:numId w:val="33"/>
        </w:numPr>
        <w:spacing w:line="276" w:lineRule="auto"/>
        <w:jc w:val="both"/>
      </w:pPr>
      <w:r>
        <w:t xml:space="preserve">ochrana, obnova a udržateľný manažment mokradí (vrátane rašelinísk) a inundačných území pre udržiavanie prietokov a kvality vody, </w:t>
      </w:r>
    </w:p>
    <w:p w14:paraId="7265EED0" w14:textId="1EA3281C" w:rsidR="007205FB" w:rsidRDefault="007205FB" w:rsidP="007205FB">
      <w:pPr>
        <w:pStyle w:val="Odsekzoznamu"/>
        <w:numPr>
          <w:ilvl w:val="0"/>
          <w:numId w:val="33"/>
        </w:numPr>
        <w:spacing w:line="276" w:lineRule="auto"/>
        <w:jc w:val="both"/>
      </w:pPr>
      <w:r>
        <w:t xml:space="preserve">podpora opatrení na zadržiavanie vody v krajine (napr. sústavy malých technických zásahov rozmiestnených po celom povodí ako retenčné jamy, leso-technické meliorácie, jazierka, obnova meandrov a vegetácie pozdĺž tokov, zalesnenie alúvií a lepšie obhospodarovanie pôdy), ktoré majú potenciál zredukovať výskyt a intenzitu záplav, </w:t>
      </w:r>
    </w:p>
    <w:p w14:paraId="10173905" w14:textId="7C49F805" w:rsidR="007205FB" w:rsidRPr="00F73CA0" w:rsidRDefault="007205FB" w:rsidP="007205FB">
      <w:pPr>
        <w:pStyle w:val="Odsekzoznamu"/>
        <w:numPr>
          <w:ilvl w:val="0"/>
          <w:numId w:val="33"/>
        </w:numPr>
        <w:spacing w:line="276" w:lineRule="auto"/>
        <w:jc w:val="both"/>
      </w:pPr>
      <w:r>
        <w:t>podpora adaptívneho manažmentu posilňovaním monitorovania a systémov hodnotenia.</w:t>
      </w:r>
    </w:p>
    <w:p w14:paraId="02926A71" w14:textId="77777777" w:rsidR="003C67F2" w:rsidRPr="00217123" w:rsidRDefault="003C67F2" w:rsidP="00217123"/>
    <w:p w14:paraId="113D349F" w14:textId="6487E85D" w:rsidR="00B653F2" w:rsidRDefault="00276849" w:rsidP="005A2055">
      <w:pPr>
        <w:pStyle w:val="Nadpis3"/>
        <w:numPr>
          <w:ilvl w:val="2"/>
          <w:numId w:val="5"/>
        </w:numPr>
      </w:pPr>
      <w:bookmarkStart w:id="22" w:name="_Toc509383586"/>
      <w:r>
        <w:t xml:space="preserve">Adaptačné opatrenia </w:t>
      </w:r>
      <w:r w:rsidR="008C3D1C">
        <w:t>v cestovnom ruchu</w:t>
      </w:r>
      <w:bookmarkEnd w:id="22"/>
      <w:r w:rsidR="008C3D1C">
        <w:t xml:space="preserve"> </w:t>
      </w:r>
    </w:p>
    <w:p w14:paraId="4CEA222F" w14:textId="77777777" w:rsidR="00071824" w:rsidRPr="00071824" w:rsidRDefault="00071824" w:rsidP="00071824"/>
    <w:p w14:paraId="30BFA6F5" w14:textId="3E018E91" w:rsidR="005A2055" w:rsidRDefault="005A2055" w:rsidP="005A2055">
      <w:pPr>
        <w:pStyle w:val="Odsekzoznamu"/>
        <w:ind w:left="1440"/>
      </w:pPr>
    </w:p>
    <w:p w14:paraId="5CC736F4" w14:textId="5218502D" w:rsidR="005A2055" w:rsidRPr="005A2055" w:rsidRDefault="005A2055" w:rsidP="00F73CA0">
      <w:pPr>
        <w:pStyle w:val="Odsekzoznamu"/>
        <w:spacing w:line="276" w:lineRule="auto"/>
        <w:ind w:left="0"/>
        <w:jc w:val="both"/>
      </w:pPr>
      <w:r>
        <w:t xml:space="preserve">Adaptačné opatrenia v oblasti </w:t>
      </w:r>
      <w:r w:rsidR="00AC2F5B">
        <w:t>cestovnom ruchu všeobecne</w:t>
      </w:r>
      <w:r>
        <w:t xml:space="preserve"> môžu byť veľmi rôznorodé a závisia od konkrétnych očakávaných dôsledkov zmeny klímy v danej lokalite resp. regióne. Je potrebné si uvedomiť, že jednotlivé segmenty </w:t>
      </w:r>
      <w:r w:rsidR="00704CBD">
        <w:t>CR</w:t>
      </w:r>
      <w:r>
        <w:t xml:space="preserve"> majú rôzny „adaptačný potenciál“ ako je to zrejmé z nasledovnej schémy</w:t>
      </w:r>
      <w:r w:rsidR="006F524D">
        <w:t>.</w:t>
      </w:r>
      <w:r w:rsidR="00704CBD">
        <w:t xml:space="preserve"> </w:t>
      </w:r>
      <w:r w:rsidR="00704CBD" w:rsidRPr="00704CBD">
        <w:t xml:space="preserve">Turisti majú najväčšiu adaptačnú kapacitu (v závislosti od troch kľúčových zdrojov: peniaze, </w:t>
      </w:r>
      <w:r w:rsidR="00704CBD">
        <w:t>vedomosti</w:t>
      </w:r>
      <w:r w:rsidR="00704CBD" w:rsidRPr="00704CBD">
        <w:t xml:space="preserve"> a čas) s relatívnou slobodou vyhnúť sa destináciám ovplyvnený</w:t>
      </w:r>
      <w:r w:rsidR="00704CBD">
        <w:t>ch</w:t>
      </w:r>
      <w:r w:rsidR="00704CBD" w:rsidRPr="00704CBD">
        <w:t xml:space="preserve"> zmenou klímy alebo </w:t>
      </w:r>
      <w:r w:rsidR="00704CBD">
        <w:t>prostredníctvom flexibility času</w:t>
      </w:r>
      <w:r w:rsidR="00704CBD" w:rsidRPr="00704CBD">
        <w:t xml:space="preserve"> cestovania, aby sa predišlo nepriaznivým klimatickým podmienkam. Dodávatelia služieb </w:t>
      </w:r>
      <w:r w:rsidR="00704CBD">
        <w:t xml:space="preserve">(operátori) v </w:t>
      </w:r>
      <w:r w:rsidR="00704CBD" w:rsidRPr="00704CBD">
        <w:t>cestovn</w:t>
      </w:r>
      <w:r w:rsidR="00704CBD">
        <w:t>om</w:t>
      </w:r>
      <w:r w:rsidR="00704CBD" w:rsidRPr="00704CBD">
        <w:t xml:space="preserve"> ruchu majú</w:t>
      </w:r>
      <w:r w:rsidR="00FA4088">
        <w:t xml:space="preserve"> strednú</w:t>
      </w:r>
      <w:r w:rsidR="00704CBD">
        <w:t xml:space="preserve"> adaptačnú </w:t>
      </w:r>
      <w:r w:rsidR="00704CBD" w:rsidRPr="00704CBD">
        <w:t xml:space="preserve">kapacitu. Veľké cestovné </w:t>
      </w:r>
      <w:r w:rsidR="00704CBD" w:rsidRPr="00704CBD">
        <w:lastRenderedPageBreak/>
        <w:t xml:space="preserve">kancelárie </w:t>
      </w:r>
      <w:r w:rsidR="00704CBD">
        <w:t>(</w:t>
      </w:r>
      <w:r w:rsidR="00704CBD" w:rsidRPr="00704CBD">
        <w:t>ktoré nevlastnia infraštruktúru</w:t>
      </w:r>
      <w:r w:rsidR="00704CBD">
        <w:t>)</w:t>
      </w:r>
      <w:r w:rsidR="00704CBD" w:rsidRPr="00704CBD">
        <w:t xml:space="preserve">, sú schopné </w:t>
      </w:r>
      <w:r w:rsidR="00704CBD">
        <w:t xml:space="preserve">sa lepšie </w:t>
      </w:r>
      <w:r w:rsidR="00704CBD" w:rsidRPr="00704CBD">
        <w:t xml:space="preserve">prispôsobiť zmenám v destináciách, pretože môžu reagovať na požiadavky klientov a poskytovať informácie na ovplyvnenie možností cestovania klientov. </w:t>
      </w:r>
      <w:r w:rsidR="00FA4088">
        <w:t>V najzložitejšej situácii sa nachádzajú samotní lokálni prevádzkovatelia aktivít CR  a miestne komunity viazané na danú lokalitu (Obrázok 9).</w:t>
      </w:r>
    </w:p>
    <w:p w14:paraId="0C410E58" w14:textId="77777777" w:rsidR="006F524D" w:rsidRDefault="00AC2F5B" w:rsidP="006F524D">
      <w:pPr>
        <w:keepNext/>
        <w:spacing w:line="276" w:lineRule="auto"/>
      </w:pPr>
      <w:r w:rsidRPr="006F524D">
        <w:rPr>
          <w:noProof/>
          <w:shd w:val="clear" w:color="auto" w:fill="D5DCE4" w:themeFill="text2" w:themeFillTint="33"/>
        </w:rPr>
        <w:drawing>
          <wp:inline distT="0" distB="0" distL="0" distR="0" wp14:anchorId="3269FE3F" wp14:editId="18D6A2ED">
            <wp:extent cx="5544324" cy="1638529"/>
            <wp:effectExtent l="0" t="0" r="0" b="0"/>
            <wp:docPr id="18" name="Obrázok 18" descr="Výrez obrazov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90D0D6.tmp"/>
                    <pic:cNvPicPr/>
                  </pic:nvPicPr>
                  <pic:blipFill>
                    <a:blip r:embed="rId36">
                      <a:extLst>
                        <a:ext uri="{28A0092B-C50C-407E-A947-70E740481C1C}">
                          <a14:useLocalDpi xmlns:a14="http://schemas.microsoft.com/office/drawing/2010/main" val="0"/>
                        </a:ext>
                      </a:extLst>
                    </a:blip>
                    <a:stretch>
                      <a:fillRect/>
                    </a:stretch>
                  </pic:blipFill>
                  <pic:spPr>
                    <a:xfrm>
                      <a:off x="0" y="0"/>
                      <a:ext cx="5544324" cy="1638529"/>
                    </a:xfrm>
                    <a:prstGeom prst="rect">
                      <a:avLst/>
                    </a:prstGeom>
                  </pic:spPr>
                </pic:pic>
              </a:graphicData>
            </a:graphic>
          </wp:inline>
        </w:drawing>
      </w:r>
    </w:p>
    <w:p w14:paraId="6AFE907D" w14:textId="78E95735" w:rsidR="00B653F2" w:rsidRDefault="006F524D" w:rsidP="006F524D">
      <w:pPr>
        <w:pStyle w:val="Popis"/>
        <w:rPr>
          <w:b/>
          <w:i w:val="0"/>
          <w:color w:val="auto"/>
        </w:rPr>
      </w:pPr>
      <w:r w:rsidRPr="006F524D">
        <w:rPr>
          <w:b/>
          <w:i w:val="0"/>
          <w:color w:val="auto"/>
        </w:rPr>
        <w:t xml:space="preserve">Obrázok </w:t>
      </w:r>
      <w:r w:rsidRPr="006F524D">
        <w:rPr>
          <w:b/>
          <w:i w:val="0"/>
          <w:color w:val="auto"/>
        </w:rPr>
        <w:fldChar w:fldCharType="begin"/>
      </w:r>
      <w:r w:rsidRPr="006F524D">
        <w:rPr>
          <w:b/>
          <w:i w:val="0"/>
          <w:color w:val="auto"/>
        </w:rPr>
        <w:instrText xml:space="preserve"> SEQ Obrázok \* ARABIC </w:instrText>
      </w:r>
      <w:r w:rsidRPr="006F524D">
        <w:rPr>
          <w:b/>
          <w:i w:val="0"/>
          <w:color w:val="auto"/>
        </w:rPr>
        <w:fldChar w:fldCharType="separate"/>
      </w:r>
      <w:r w:rsidRPr="006F524D">
        <w:rPr>
          <w:b/>
          <w:i w:val="0"/>
          <w:noProof/>
          <w:color w:val="auto"/>
        </w:rPr>
        <w:t>9</w:t>
      </w:r>
      <w:r w:rsidRPr="006F524D">
        <w:rPr>
          <w:b/>
          <w:i w:val="0"/>
          <w:color w:val="auto"/>
        </w:rPr>
        <w:fldChar w:fldCharType="end"/>
      </w:r>
      <w:r w:rsidRPr="006F524D">
        <w:rPr>
          <w:b/>
          <w:i w:val="0"/>
          <w:color w:val="auto"/>
        </w:rPr>
        <w:t>. Adaptačná schopnosť (kapacita) hlavných subsektorov v cestovnom ruchu  (UNWTO-UNEP-WMO 2008)</w:t>
      </w:r>
      <w:r>
        <w:rPr>
          <w:b/>
          <w:i w:val="0"/>
          <w:color w:val="auto"/>
        </w:rPr>
        <w:t>.</w:t>
      </w:r>
      <w:r w:rsidR="00C47325">
        <w:rPr>
          <w:b/>
          <w:i w:val="0"/>
          <w:color w:val="auto"/>
        </w:rPr>
        <w:t xml:space="preserve"> Zdroj: </w:t>
      </w:r>
      <w:r w:rsidR="00C905A8">
        <w:rPr>
          <w:b/>
          <w:i w:val="0"/>
          <w:color w:val="auto"/>
        </w:rPr>
        <w:t>Minďaš a kol. 2011.</w:t>
      </w:r>
    </w:p>
    <w:p w14:paraId="212F53DE" w14:textId="16A416A8" w:rsidR="000270C2" w:rsidRDefault="00B37B8C" w:rsidP="00F73CA0">
      <w:pPr>
        <w:spacing w:line="276" w:lineRule="auto"/>
        <w:jc w:val="both"/>
      </w:pPr>
      <w:r>
        <w:t xml:space="preserve">Všeobecné princípy adaptácie na zmenu klímy, aplikovateľné aj pre oblasť </w:t>
      </w:r>
      <w:r w:rsidR="00704CBD">
        <w:t>CR</w:t>
      </w:r>
      <w:r>
        <w:t xml:space="preserve">, definovala správa UNDP (UNDP 2005), ktoré môžeme sumarizovať nasledovne: </w:t>
      </w:r>
    </w:p>
    <w:p w14:paraId="3D734D37" w14:textId="0A411A46" w:rsidR="000270C2" w:rsidRDefault="00B37B8C" w:rsidP="00F73CA0">
      <w:pPr>
        <w:pStyle w:val="Odsekzoznamu"/>
        <w:numPr>
          <w:ilvl w:val="0"/>
          <w:numId w:val="11"/>
        </w:numPr>
        <w:spacing w:line="276" w:lineRule="auto"/>
        <w:jc w:val="both"/>
      </w:pPr>
      <w:r>
        <w:t xml:space="preserve">Adaptácia danej lokality na klimatickú zmenu sa musí diať v súlade s kontextom jej budúceho rozvoja </w:t>
      </w:r>
    </w:p>
    <w:p w14:paraId="45A67F18" w14:textId="34DB7823" w:rsidR="000270C2" w:rsidRDefault="00B37B8C" w:rsidP="00F73CA0">
      <w:pPr>
        <w:pStyle w:val="Odsekzoznamu"/>
        <w:numPr>
          <w:ilvl w:val="0"/>
          <w:numId w:val="11"/>
        </w:numPr>
        <w:spacing w:line="276" w:lineRule="auto"/>
        <w:jc w:val="both"/>
      </w:pPr>
      <w:r>
        <w:t xml:space="preserve">Nadobúdať skúsenosti v oblasti adaptácií a vyrovnávať sa s variabilitou klímy </w:t>
      </w:r>
    </w:p>
    <w:p w14:paraId="3BAA15F6" w14:textId="0E29CD6B" w:rsidR="000270C2" w:rsidRDefault="00B37B8C" w:rsidP="00F73CA0">
      <w:pPr>
        <w:pStyle w:val="Odsekzoznamu"/>
        <w:numPr>
          <w:ilvl w:val="0"/>
          <w:numId w:val="11"/>
        </w:numPr>
        <w:spacing w:line="276" w:lineRule="auto"/>
        <w:jc w:val="both"/>
      </w:pPr>
      <w:r>
        <w:t xml:space="preserve">Uvedomiť si, že adaptácia sa realizuje na rôznych úrovniach (národná, regionálna, lokálna) </w:t>
      </w:r>
    </w:p>
    <w:p w14:paraId="70B32DEF" w14:textId="0A43496A" w:rsidR="000270C2" w:rsidRDefault="00B37B8C" w:rsidP="00F73CA0">
      <w:pPr>
        <w:pStyle w:val="Odsekzoznamu"/>
        <w:numPr>
          <w:ilvl w:val="0"/>
          <w:numId w:val="11"/>
        </w:numPr>
        <w:spacing w:line="276" w:lineRule="auto"/>
        <w:jc w:val="both"/>
      </w:pPr>
      <w:r>
        <w:t xml:space="preserve">Uvedomiť si, že adaptačný proces je kontinuálny proces </w:t>
      </w:r>
    </w:p>
    <w:p w14:paraId="11724EFB" w14:textId="77777777" w:rsidR="000270C2" w:rsidRDefault="00B37B8C" w:rsidP="00B37B8C">
      <w:r>
        <w:t xml:space="preserve">Tieto všeobecné princípy sa rozpracovali pre sektor turizmu detailnejšie, a to definovaním „Rámca pre adaptáciu na klimatickú zmenu v turistickom sektore“ (Simpson et al. 2008): </w:t>
      </w:r>
    </w:p>
    <w:p w14:paraId="3F73F29B" w14:textId="1AA77E69" w:rsidR="000270C2" w:rsidRDefault="00B37B8C" w:rsidP="00F73CA0">
      <w:pPr>
        <w:pStyle w:val="Odsekzoznamu"/>
        <w:numPr>
          <w:ilvl w:val="1"/>
          <w:numId w:val="9"/>
        </w:numPr>
        <w:spacing w:line="276" w:lineRule="auto"/>
        <w:jc w:val="both"/>
      </w:pPr>
      <w:r>
        <w:t xml:space="preserve">Adaptuj sa už teraz, budúci deficit v adaptácii sa už nemusí podariť zrealizovať </w:t>
      </w:r>
    </w:p>
    <w:p w14:paraId="4BFE27CB" w14:textId="593EE824" w:rsidR="000270C2" w:rsidRDefault="00B37B8C" w:rsidP="00F73CA0">
      <w:pPr>
        <w:pStyle w:val="Odsekzoznamu"/>
        <w:numPr>
          <w:ilvl w:val="1"/>
          <w:numId w:val="9"/>
        </w:numPr>
        <w:spacing w:line="276" w:lineRule="auto"/>
        <w:jc w:val="both"/>
      </w:pPr>
      <w:r>
        <w:t xml:space="preserve">Vytvor podmienky pre realizovateľnosť adaptácií (finančné, legislatívne, inštitucionálne, znalostné, ...) </w:t>
      </w:r>
    </w:p>
    <w:p w14:paraId="4FD7F4FA" w14:textId="5629103E" w:rsidR="000270C2" w:rsidRDefault="00B37B8C" w:rsidP="00F73CA0">
      <w:pPr>
        <w:pStyle w:val="Odsekzoznamu"/>
        <w:numPr>
          <w:ilvl w:val="1"/>
          <w:numId w:val="9"/>
        </w:numPr>
        <w:spacing w:line="276" w:lineRule="auto"/>
        <w:jc w:val="both"/>
      </w:pPr>
      <w:r>
        <w:t xml:space="preserve">Integruj adaptácie do rozvojových programov </w:t>
      </w:r>
    </w:p>
    <w:p w14:paraId="22896BD7" w14:textId="1E5E2EDD" w:rsidR="000270C2" w:rsidRDefault="00B37B8C" w:rsidP="00F73CA0">
      <w:pPr>
        <w:pStyle w:val="Odsekzoznamu"/>
        <w:numPr>
          <w:ilvl w:val="1"/>
          <w:numId w:val="9"/>
        </w:numPr>
        <w:spacing w:line="276" w:lineRule="auto"/>
        <w:jc w:val="both"/>
      </w:pPr>
      <w:r>
        <w:t xml:space="preserve">Zvýš povedomie a znalosti o dôsledkoch zmeny klímy </w:t>
      </w:r>
    </w:p>
    <w:p w14:paraId="1050D8BB" w14:textId="6F8BA310" w:rsidR="000270C2" w:rsidRDefault="00B37B8C" w:rsidP="00F73CA0">
      <w:pPr>
        <w:pStyle w:val="Odsekzoznamu"/>
        <w:numPr>
          <w:ilvl w:val="1"/>
          <w:numId w:val="9"/>
        </w:numPr>
        <w:spacing w:line="276" w:lineRule="auto"/>
        <w:jc w:val="both"/>
      </w:pPr>
      <w:r>
        <w:t xml:space="preserve">Posilni inštitúcie (lokálnu štátnu správu a samosprávu, komunitné organizácie, profesné združenia, univerzity, ...) </w:t>
      </w:r>
    </w:p>
    <w:p w14:paraId="2AA8A252" w14:textId="159A0B90" w:rsidR="000270C2" w:rsidRDefault="00B37B8C" w:rsidP="00F73CA0">
      <w:pPr>
        <w:pStyle w:val="Odsekzoznamu"/>
        <w:numPr>
          <w:ilvl w:val="1"/>
          <w:numId w:val="9"/>
        </w:numPr>
        <w:spacing w:line="276" w:lineRule="auto"/>
        <w:jc w:val="both"/>
      </w:pPr>
      <w:r>
        <w:t xml:space="preserve">Ochraňuj prírodné zdroje, tieto vytvárajú podmienky pre realizovateľnosť turizmu </w:t>
      </w:r>
    </w:p>
    <w:p w14:paraId="05FC0EE5" w14:textId="3D029096" w:rsidR="000270C2" w:rsidRDefault="00B37B8C" w:rsidP="00F73CA0">
      <w:pPr>
        <w:pStyle w:val="Odsekzoznamu"/>
        <w:numPr>
          <w:ilvl w:val="1"/>
          <w:numId w:val="9"/>
        </w:numPr>
        <w:spacing w:line="276" w:lineRule="auto"/>
        <w:jc w:val="both"/>
      </w:pPr>
      <w:r>
        <w:t xml:space="preserve">Poskytni a zabezpeč finančnú asistenciu, finančné prostriedky sú často limitujúce pre realizáciu adaptačných opatrení </w:t>
      </w:r>
    </w:p>
    <w:p w14:paraId="30D0A6A4" w14:textId="37C612FD" w:rsidR="000270C2" w:rsidRDefault="00B37B8C" w:rsidP="00F73CA0">
      <w:pPr>
        <w:pStyle w:val="Odsekzoznamu"/>
        <w:numPr>
          <w:ilvl w:val="1"/>
          <w:numId w:val="9"/>
        </w:numPr>
        <w:spacing w:line="276" w:lineRule="auto"/>
        <w:jc w:val="both"/>
      </w:pPr>
      <w:r>
        <w:t xml:space="preserve">Uvažuj s rizikom, zainteresuj jednotlivých partnerov na potenciálnom riziku a zabezpeč ich účasť na adaptáciách </w:t>
      </w:r>
    </w:p>
    <w:p w14:paraId="3A89747B" w14:textId="7146E443" w:rsidR="000270C2" w:rsidRDefault="00B37B8C" w:rsidP="00F73CA0">
      <w:pPr>
        <w:pStyle w:val="Odsekzoznamu"/>
        <w:numPr>
          <w:ilvl w:val="1"/>
          <w:numId w:val="9"/>
        </w:numPr>
        <w:spacing w:line="276" w:lineRule="auto"/>
        <w:jc w:val="both"/>
      </w:pPr>
      <w:r>
        <w:t xml:space="preserve">Realizuj adaptačné opatrenia so zahrnutím miestnych osobitostí, špecifické prístupy a iniciatívy budú efektívnejšie </w:t>
      </w:r>
    </w:p>
    <w:p w14:paraId="5E1E1D50" w14:textId="66B37805" w:rsidR="008F69D7" w:rsidRPr="00FD1BB9" w:rsidRDefault="009160CC" w:rsidP="00FD1BB9">
      <w:pPr>
        <w:spacing w:line="276" w:lineRule="auto"/>
        <w:jc w:val="both"/>
      </w:pPr>
      <w:r w:rsidRPr="00FD1BB9">
        <w:t>Podľa</w:t>
      </w:r>
      <w:r w:rsidR="00CF574B" w:rsidRPr="00FD1BB9">
        <w:t xml:space="preserve"> </w:t>
      </w:r>
      <w:r w:rsidR="00FD1BB9" w:rsidRPr="00FD1BB9">
        <w:t xml:space="preserve">štúdií </w:t>
      </w:r>
      <w:r w:rsidR="00CF574B" w:rsidRPr="00FD1BB9">
        <w:t>WTO</w:t>
      </w:r>
      <w:r w:rsidR="00792171" w:rsidRPr="00FD1BB9">
        <w:t xml:space="preserve"> a</w:t>
      </w:r>
      <w:r w:rsidR="001D11EF" w:rsidRPr="00FD1BB9">
        <w:t xml:space="preserve"> OECD sú pre </w:t>
      </w:r>
      <w:r w:rsidR="001D11EF" w:rsidRPr="00F66592">
        <w:t>horské zimné destinácie</w:t>
      </w:r>
      <w:r w:rsidR="001D11EF" w:rsidRPr="00FD1BB9">
        <w:t xml:space="preserve"> ako je aj NP Slovenský raj odporúčané adaptačné opatrenia</w:t>
      </w:r>
      <w:r w:rsidR="00FD1BB9" w:rsidRPr="00FD1BB9">
        <w:t xml:space="preserve">, ktoré sa dajú ďalej rozčleniť na technologické a behaviorálne adaptačné opatrenia. </w:t>
      </w:r>
      <w:r w:rsidR="00F66592">
        <w:t xml:space="preserve">Technologické opatrenia sa snažia zmierniť negatívne dopady zmeny klímy pomocou nových </w:t>
      </w:r>
      <w:r w:rsidR="00F66592">
        <w:lastRenderedPageBreak/>
        <w:t xml:space="preserve">poznatkov vo vede a s pomocou nových a výkonných technických zariadení. </w:t>
      </w:r>
      <w:r w:rsidR="00F66592">
        <w:rPr>
          <w:rFonts w:cstheme="minorHAnsi"/>
        </w:rPr>
        <w:t>B</w:t>
      </w:r>
      <w:r w:rsidR="00F66592" w:rsidRPr="00FD1BB9">
        <w:rPr>
          <w:rFonts w:cstheme="minorHAnsi"/>
        </w:rPr>
        <w:t>ehaviorálna adaptácia</w:t>
      </w:r>
      <w:r w:rsidR="00F66592">
        <w:rPr>
          <w:rFonts w:cstheme="minorHAnsi"/>
        </w:rPr>
        <w:t xml:space="preserve"> </w:t>
      </w:r>
      <w:r w:rsidR="00FD1BB9" w:rsidRPr="00FD1BB9">
        <w:rPr>
          <w:rFonts w:cstheme="minorHAnsi"/>
        </w:rPr>
        <w:t>všeobecn</w:t>
      </w:r>
      <w:r w:rsidR="00F66592">
        <w:rPr>
          <w:rFonts w:cstheme="minorHAnsi"/>
        </w:rPr>
        <w:t>e</w:t>
      </w:r>
      <w:r w:rsidR="00FD1BB9" w:rsidRPr="00FD1BB9">
        <w:rPr>
          <w:rFonts w:cstheme="minorHAnsi"/>
        </w:rPr>
        <w:t xml:space="preserve"> zahŕňa rôzne typy adaptovaného správania v rozsahu od prevádzkových postupov a finančných nástrojov až po nové obchodné modely smerom k diverzifikácii činností. </w:t>
      </w:r>
      <w:r w:rsidR="0002211A">
        <w:t>K</w:t>
      </w:r>
      <w:r w:rsidR="00FD1BB9" w:rsidRPr="00FD1BB9">
        <w:t xml:space="preserve">onkrétne </w:t>
      </w:r>
      <w:r w:rsidR="00F66592">
        <w:t xml:space="preserve">typy </w:t>
      </w:r>
      <w:r w:rsidR="00FD1BB9" w:rsidRPr="00FD1BB9">
        <w:t>adaptačn</w:t>
      </w:r>
      <w:r w:rsidR="00F66592">
        <w:t>ých</w:t>
      </w:r>
      <w:r w:rsidR="00FD1BB9" w:rsidRPr="00FD1BB9">
        <w:t xml:space="preserve"> opatren</w:t>
      </w:r>
      <w:r w:rsidR="00F66592">
        <w:t>í</w:t>
      </w:r>
      <w:r w:rsidR="00FD1BB9" w:rsidRPr="00FD1BB9">
        <w:t xml:space="preserve"> aj s príkladmi zo zahraničia a</w:t>
      </w:r>
      <w:r w:rsidR="00F66592">
        <w:t xml:space="preserve"> zo </w:t>
      </w:r>
      <w:r w:rsidR="00FD1BB9" w:rsidRPr="00FD1BB9">
        <w:t>Slovenska sa nachádzajú v </w:t>
      </w:r>
      <w:r w:rsidR="00FD1BB9" w:rsidRPr="00C7714F">
        <w:rPr>
          <w:b/>
          <w:highlight w:val="yellow"/>
        </w:rPr>
        <w:t xml:space="preserve">Prílohe </w:t>
      </w:r>
      <w:r w:rsidR="00F66592" w:rsidRPr="00C7714F">
        <w:rPr>
          <w:b/>
          <w:highlight w:val="yellow"/>
        </w:rPr>
        <w:t xml:space="preserve">č. </w:t>
      </w:r>
      <w:r w:rsidR="00FD1BB9" w:rsidRPr="00C7714F">
        <w:rPr>
          <w:b/>
          <w:highlight w:val="yellow"/>
        </w:rPr>
        <w:t>3</w:t>
      </w:r>
      <w:r w:rsidR="00F66592" w:rsidRPr="00C7714F">
        <w:rPr>
          <w:b/>
        </w:rPr>
        <w:t>.</w:t>
      </w:r>
    </w:p>
    <w:p w14:paraId="6FE18593" w14:textId="2E1A1004" w:rsidR="00FD1BB9" w:rsidRDefault="00F66592" w:rsidP="00F66592">
      <w:pPr>
        <w:jc w:val="both"/>
        <w:rPr>
          <w:b/>
        </w:rPr>
      </w:pPr>
      <w:r w:rsidRPr="00174585">
        <w:t>Technologické</w:t>
      </w:r>
      <w:r w:rsidR="00174585" w:rsidRPr="00174585">
        <w:t xml:space="preserve"> a behaviorále</w:t>
      </w:r>
      <w:r w:rsidRPr="00174585">
        <w:t xml:space="preserve"> opatrenia </w:t>
      </w:r>
      <w:r w:rsidR="00174585">
        <w:t xml:space="preserve">v CR </w:t>
      </w:r>
      <w:r w:rsidRPr="00174585">
        <w:t>pre</w:t>
      </w:r>
      <w:r w:rsidRPr="00F66592">
        <w:rPr>
          <w:b/>
        </w:rPr>
        <w:t xml:space="preserve"> horské  zimné destinácie</w:t>
      </w:r>
      <w:r w:rsidR="00174585">
        <w:rPr>
          <w:b/>
        </w:rPr>
        <w:t xml:space="preserve"> </w:t>
      </w:r>
      <w:r w:rsidR="00174585" w:rsidRPr="00174585">
        <w:t>(WTO 2008)</w:t>
      </w:r>
      <w:r w:rsidRPr="00174585">
        <w:t>:</w:t>
      </w:r>
    </w:p>
    <w:p w14:paraId="5B71EC5A" w14:textId="1CCB70EE" w:rsidR="00407A42" w:rsidRDefault="0002211A" w:rsidP="0002211A">
      <w:pPr>
        <w:pStyle w:val="Odsekzoznamu"/>
        <w:numPr>
          <w:ilvl w:val="1"/>
          <w:numId w:val="11"/>
        </w:numPr>
        <w:spacing w:line="276" w:lineRule="auto"/>
        <w:ind w:left="1418"/>
        <w:jc w:val="both"/>
      </w:pPr>
      <w:r>
        <w:t>s</w:t>
      </w:r>
      <w:r w:rsidR="00407A42">
        <w:t xml:space="preserve">timulovať </w:t>
      </w:r>
      <w:r w:rsidR="00407A42" w:rsidRPr="00D403EF">
        <w:rPr>
          <w:b/>
        </w:rPr>
        <w:t>produktovú a sezónnu diverzifikáciu</w:t>
      </w:r>
      <w:r w:rsidR="00407A42">
        <w:t xml:space="preserve"> </w:t>
      </w:r>
      <w:r>
        <w:t>(</w:t>
      </w:r>
      <w:r w:rsidR="00407A42">
        <w:t xml:space="preserve">napr. </w:t>
      </w:r>
      <w:r>
        <w:t>v</w:t>
      </w:r>
      <w:r w:rsidR="00407A42">
        <w:t>ytváranie kúpeľov, celoročná turistika</w:t>
      </w:r>
      <w:r>
        <w:t>)</w:t>
      </w:r>
      <w:r w:rsidR="00407A42">
        <w:t>;</w:t>
      </w:r>
    </w:p>
    <w:p w14:paraId="3C8529FD" w14:textId="55E432FE" w:rsidR="00407A42" w:rsidRDefault="0002211A" w:rsidP="0002211A">
      <w:pPr>
        <w:pStyle w:val="Odsekzoznamu"/>
        <w:numPr>
          <w:ilvl w:val="1"/>
          <w:numId w:val="11"/>
        </w:numPr>
        <w:spacing w:line="276" w:lineRule="auto"/>
        <w:ind w:left="1418"/>
        <w:jc w:val="both"/>
      </w:pPr>
      <w:r>
        <w:t xml:space="preserve">zavádzať </w:t>
      </w:r>
      <w:r w:rsidRPr="00D403EF">
        <w:rPr>
          <w:b/>
        </w:rPr>
        <w:t>efektívnejšie umelé zasnežovanie</w:t>
      </w:r>
      <w:r w:rsidR="00407A42">
        <w:t>;</w:t>
      </w:r>
    </w:p>
    <w:p w14:paraId="2E85165D" w14:textId="50890D6E" w:rsidR="00174585" w:rsidRDefault="00174585" w:rsidP="00174585">
      <w:pPr>
        <w:pStyle w:val="Odsekzoznamu"/>
        <w:numPr>
          <w:ilvl w:val="1"/>
          <w:numId w:val="11"/>
        </w:numPr>
        <w:spacing w:line="276" w:lineRule="auto"/>
        <w:ind w:left="1418"/>
        <w:jc w:val="both"/>
      </w:pPr>
      <w:r>
        <w:t xml:space="preserve">zlepšiť využívanie vody a </w:t>
      </w:r>
      <w:r w:rsidRPr="00D403EF">
        <w:rPr>
          <w:b/>
        </w:rPr>
        <w:t>chrániť povodia</w:t>
      </w:r>
      <w:r>
        <w:t>;</w:t>
      </w:r>
    </w:p>
    <w:p w14:paraId="5BA89AF6" w14:textId="7088AD98" w:rsidR="00407A42" w:rsidRDefault="0002211A" w:rsidP="0002211A">
      <w:pPr>
        <w:pStyle w:val="Odsekzoznamu"/>
        <w:numPr>
          <w:ilvl w:val="1"/>
          <w:numId w:val="11"/>
        </w:numPr>
        <w:spacing w:line="276" w:lineRule="auto"/>
        <w:ind w:left="1418"/>
        <w:jc w:val="both"/>
      </w:pPr>
      <w:r w:rsidRPr="00D403EF">
        <w:rPr>
          <w:b/>
        </w:rPr>
        <w:t>upravovať</w:t>
      </w:r>
      <w:r w:rsidR="00407A42" w:rsidRPr="00D403EF">
        <w:rPr>
          <w:b/>
        </w:rPr>
        <w:t xml:space="preserve"> lyžiarske svahy</w:t>
      </w:r>
      <w:r w:rsidR="00407A42">
        <w:t xml:space="preserve"> s cieľom znížiť nároky na hĺbku snehu;</w:t>
      </w:r>
    </w:p>
    <w:p w14:paraId="367AAFBE" w14:textId="5E551C7C" w:rsidR="00407A42" w:rsidRDefault="00407A42" w:rsidP="0002211A">
      <w:pPr>
        <w:pStyle w:val="Odsekzoznamu"/>
        <w:numPr>
          <w:ilvl w:val="1"/>
          <w:numId w:val="11"/>
        </w:numPr>
        <w:spacing w:line="276" w:lineRule="auto"/>
        <w:ind w:left="1418"/>
        <w:jc w:val="both"/>
      </w:pPr>
      <w:r>
        <w:t xml:space="preserve">presunúť lyžiarske </w:t>
      </w:r>
      <w:r w:rsidR="0002211A">
        <w:t>strediská</w:t>
      </w:r>
      <w:r>
        <w:t xml:space="preserve"> do vyšších nadmorských výšok alebo </w:t>
      </w:r>
      <w:r w:rsidR="00D403EF">
        <w:t>v</w:t>
      </w:r>
      <w:r w:rsidR="00D403EF" w:rsidRPr="00D403EF">
        <w:rPr>
          <w:b/>
        </w:rPr>
        <w:t>yužívať</w:t>
      </w:r>
      <w:r w:rsidR="0002211A" w:rsidRPr="00D403EF">
        <w:rPr>
          <w:b/>
        </w:rPr>
        <w:t xml:space="preserve"> chladnejšie </w:t>
      </w:r>
      <w:r w:rsidRPr="00D403EF">
        <w:rPr>
          <w:b/>
        </w:rPr>
        <w:t>severné svahy</w:t>
      </w:r>
      <w:r>
        <w:t>;</w:t>
      </w:r>
    </w:p>
    <w:p w14:paraId="1BB4E21E" w14:textId="5EEEFB49" w:rsidR="00407A42" w:rsidRDefault="00407A42" w:rsidP="0002211A">
      <w:pPr>
        <w:pStyle w:val="Odsekzoznamu"/>
        <w:numPr>
          <w:ilvl w:val="1"/>
          <w:numId w:val="11"/>
        </w:numPr>
        <w:spacing w:line="276" w:lineRule="auto"/>
        <w:ind w:left="1418"/>
        <w:jc w:val="both"/>
      </w:pPr>
      <w:r>
        <w:t xml:space="preserve">zlepšiť </w:t>
      </w:r>
      <w:r w:rsidRPr="00D403EF">
        <w:rPr>
          <w:b/>
        </w:rPr>
        <w:t>poistné krytie</w:t>
      </w:r>
      <w:r>
        <w:t xml:space="preserve"> v prípade extrémnych udalostí a prírodných katastrof (napr. Lavín);</w:t>
      </w:r>
    </w:p>
    <w:p w14:paraId="6BB381DC" w14:textId="7924165F" w:rsidR="00407A42" w:rsidRDefault="00407A42" w:rsidP="0002211A">
      <w:pPr>
        <w:pStyle w:val="Odsekzoznamu"/>
        <w:numPr>
          <w:ilvl w:val="1"/>
          <w:numId w:val="11"/>
        </w:numPr>
        <w:spacing w:line="276" w:lineRule="auto"/>
        <w:ind w:left="1418"/>
        <w:jc w:val="both"/>
      </w:pPr>
      <w:r>
        <w:t xml:space="preserve">podporovať </w:t>
      </w:r>
      <w:r w:rsidR="00757828" w:rsidRPr="00D403EF">
        <w:rPr>
          <w:b/>
        </w:rPr>
        <w:t>vzájomnú spoluprácu</w:t>
      </w:r>
      <w:r w:rsidR="00757828">
        <w:t xml:space="preserve"> a </w:t>
      </w:r>
      <w:r>
        <w:t>partnerstvá (integrácia v strediskách, spolupráca medzi rezortmi</w:t>
      </w:r>
      <w:r w:rsidR="00757828">
        <w:t>, zdieľanie nákladov</w:t>
      </w:r>
      <w:r>
        <w:t>) na zníženie</w:t>
      </w:r>
      <w:r w:rsidR="0002211A">
        <w:t xml:space="preserve"> </w:t>
      </w:r>
      <w:r>
        <w:t>zraniteľnos</w:t>
      </w:r>
      <w:r w:rsidR="00757828">
        <w:t>ti</w:t>
      </w:r>
      <w:r>
        <w:t xml:space="preserve"> </w:t>
      </w:r>
      <w:r w:rsidR="00757828">
        <w:t>(klimatickej a ekonomickej)</w:t>
      </w:r>
      <w:r>
        <w:t>;</w:t>
      </w:r>
    </w:p>
    <w:p w14:paraId="1E35D2D3" w14:textId="405F92BA" w:rsidR="00407A42" w:rsidRDefault="00407A42" w:rsidP="0002211A">
      <w:pPr>
        <w:pStyle w:val="Odsekzoznamu"/>
        <w:numPr>
          <w:ilvl w:val="1"/>
          <w:numId w:val="11"/>
        </w:numPr>
        <w:spacing w:line="276" w:lineRule="auto"/>
        <w:ind w:left="1418"/>
        <w:jc w:val="both"/>
      </w:pPr>
      <w:r w:rsidRPr="00D403EF">
        <w:rPr>
          <w:b/>
        </w:rPr>
        <w:t xml:space="preserve">vzdelávať a zvyšovať informovanosť </w:t>
      </w:r>
      <w:r w:rsidR="00757828" w:rsidRPr="00D403EF">
        <w:rPr>
          <w:b/>
        </w:rPr>
        <w:t>návštevníkov</w:t>
      </w:r>
      <w:r>
        <w:t xml:space="preserve"> o dôsledkoch </w:t>
      </w:r>
      <w:r w:rsidR="00757828">
        <w:t xml:space="preserve">globálnej zmeny klímy na </w:t>
      </w:r>
      <w:r>
        <w:t>životné prostredi</w:t>
      </w:r>
      <w:r w:rsidR="00757828">
        <w:t>e</w:t>
      </w:r>
      <w:r>
        <w:t>;</w:t>
      </w:r>
    </w:p>
    <w:p w14:paraId="11E5BD06" w14:textId="21E6AB80" w:rsidR="00407A42" w:rsidRDefault="00407A42" w:rsidP="0002211A">
      <w:pPr>
        <w:pStyle w:val="Odsekzoznamu"/>
        <w:numPr>
          <w:ilvl w:val="1"/>
          <w:numId w:val="11"/>
        </w:numPr>
        <w:spacing w:line="276" w:lineRule="auto"/>
        <w:ind w:left="1418"/>
        <w:jc w:val="both"/>
      </w:pPr>
      <w:r>
        <w:t xml:space="preserve">kombinovať </w:t>
      </w:r>
      <w:r w:rsidR="00757828">
        <w:t xml:space="preserve">mitigačné (zamerané na znižovanie emisií skleníkových plynov) a adaptačné </w:t>
      </w:r>
      <w:r>
        <w:t>opatrenia</w:t>
      </w:r>
      <w:r w:rsidR="00757828">
        <w:t xml:space="preserve"> </w:t>
      </w:r>
      <w:r>
        <w:t>do integrovaných a koherentných stratégií;</w:t>
      </w:r>
    </w:p>
    <w:p w14:paraId="670D66D1" w14:textId="175F53FA" w:rsidR="001D11EF" w:rsidRDefault="00407A42" w:rsidP="0002211A">
      <w:pPr>
        <w:pStyle w:val="Odsekzoznamu"/>
        <w:numPr>
          <w:ilvl w:val="1"/>
          <w:numId w:val="11"/>
        </w:numPr>
        <w:spacing w:line="276" w:lineRule="auto"/>
        <w:ind w:left="1418"/>
        <w:jc w:val="both"/>
      </w:pPr>
      <w:r>
        <w:t xml:space="preserve">zlepšiť </w:t>
      </w:r>
      <w:r w:rsidRPr="00D403EF">
        <w:rPr>
          <w:b/>
        </w:rPr>
        <w:t xml:space="preserve">pripravenosť na </w:t>
      </w:r>
      <w:r w:rsidR="00174585" w:rsidRPr="00D403EF">
        <w:rPr>
          <w:b/>
        </w:rPr>
        <w:t>kritické</w:t>
      </w:r>
      <w:r w:rsidRPr="00D403EF">
        <w:rPr>
          <w:b/>
        </w:rPr>
        <w:t xml:space="preserve"> situácie</w:t>
      </w:r>
      <w:r>
        <w:t xml:space="preserve">, zaviesť a zlepšiť </w:t>
      </w:r>
      <w:r w:rsidRPr="00D403EF">
        <w:rPr>
          <w:b/>
        </w:rPr>
        <w:t>varovné a evakuačné systémy</w:t>
      </w:r>
      <w:r>
        <w:t xml:space="preserve"> </w:t>
      </w:r>
    </w:p>
    <w:p w14:paraId="669BB955" w14:textId="7B0E71D6" w:rsidR="001D11EF" w:rsidRDefault="00174585" w:rsidP="00CB6F7C">
      <w:pPr>
        <w:jc w:val="both"/>
      </w:pPr>
      <w:r w:rsidRPr="00174585">
        <w:t>Technologické a behaviorál</w:t>
      </w:r>
      <w:r w:rsidR="00EC42BF">
        <w:t>n</w:t>
      </w:r>
      <w:r w:rsidRPr="00174585">
        <w:t xml:space="preserve">e opatrenia </w:t>
      </w:r>
      <w:r>
        <w:t xml:space="preserve">v CR </w:t>
      </w:r>
      <w:r w:rsidRPr="00174585">
        <w:t xml:space="preserve">pre </w:t>
      </w:r>
      <w:r w:rsidRPr="00174585">
        <w:rPr>
          <w:b/>
        </w:rPr>
        <w:t>prírodne destinácie</w:t>
      </w:r>
      <w:r w:rsidRPr="00174585">
        <w:t xml:space="preserve"> (WTO 2008):</w:t>
      </w:r>
    </w:p>
    <w:p w14:paraId="3F9194B2" w14:textId="2A1C21AF" w:rsidR="00CB6F7C" w:rsidRDefault="00CB6F7C" w:rsidP="00CB6F7C">
      <w:pPr>
        <w:pStyle w:val="Odsekzoznamu"/>
        <w:numPr>
          <w:ilvl w:val="0"/>
          <w:numId w:val="29"/>
        </w:numPr>
        <w:jc w:val="both"/>
      </w:pPr>
      <w:bookmarkStart w:id="23" w:name="_Hlk509321731"/>
      <w:r>
        <w:t xml:space="preserve">vypracovať plány, napr. plánovanie zásobovania vodou (v miestach citlivých na sucho), vypracovať </w:t>
      </w:r>
      <w:r w:rsidRPr="00D403EF">
        <w:rPr>
          <w:b/>
        </w:rPr>
        <w:t>hodnotenie rizík a stratégie pripravenosti</w:t>
      </w:r>
      <w:r>
        <w:t>, zavádzanie systémov včasného varovania (napr. pre záplavy);</w:t>
      </w:r>
    </w:p>
    <w:p w14:paraId="3EB5F3E2" w14:textId="466A9127" w:rsidR="00CB6F7C" w:rsidRDefault="00CB6F7C" w:rsidP="00EC42BF">
      <w:pPr>
        <w:pStyle w:val="Odsekzoznamu"/>
        <w:numPr>
          <w:ilvl w:val="0"/>
          <w:numId w:val="29"/>
        </w:numPr>
        <w:jc w:val="both"/>
      </w:pPr>
      <w:bookmarkStart w:id="24" w:name="_Hlk509322255"/>
      <w:bookmarkEnd w:id="23"/>
      <w:r>
        <w:t xml:space="preserve">zlepšiť </w:t>
      </w:r>
      <w:r w:rsidRPr="00D403EF">
        <w:rPr>
          <w:b/>
        </w:rPr>
        <w:t>adaptačnú kapacitu orgánov</w:t>
      </w:r>
      <w:r>
        <w:t xml:space="preserve"> a manažérov chránených oblastí </w:t>
      </w:r>
      <w:r w:rsidR="00D403EF">
        <w:t>a</w:t>
      </w:r>
      <w:r w:rsidR="00905895">
        <w:t> </w:t>
      </w:r>
      <w:r w:rsidR="00D403EF">
        <w:t>NP</w:t>
      </w:r>
      <w:bookmarkEnd w:id="24"/>
      <w:r w:rsidR="00905895">
        <w:t>;</w:t>
      </w:r>
    </w:p>
    <w:p w14:paraId="24475D48" w14:textId="30FED5AD" w:rsidR="00CB6F7C" w:rsidRDefault="00CB6F7C" w:rsidP="00CB6F7C">
      <w:pPr>
        <w:pStyle w:val="Odsekzoznamu"/>
        <w:numPr>
          <w:ilvl w:val="0"/>
          <w:numId w:val="29"/>
        </w:numPr>
        <w:jc w:val="both"/>
      </w:pPr>
      <w:bookmarkStart w:id="25" w:name="_Hlk509321898"/>
      <w:r>
        <w:t xml:space="preserve">zriadiť </w:t>
      </w:r>
      <w:r w:rsidRPr="00D403EF">
        <w:rPr>
          <w:b/>
        </w:rPr>
        <w:t xml:space="preserve">programy prieskumu </w:t>
      </w:r>
      <w:r w:rsidR="00CF5E8B" w:rsidRPr="00D403EF">
        <w:rPr>
          <w:b/>
        </w:rPr>
        <w:t xml:space="preserve">a </w:t>
      </w:r>
      <w:r w:rsidRPr="00D403EF">
        <w:rPr>
          <w:b/>
        </w:rPr>
        <w:t>monitorovania</w:t>
      </w:r>
      <w:r>
        <w:t xml:space="preserve"> na posúdenie zmien</w:t>
      </w:r>
      <w:r w:rsidR="00CF5E8B">
        <w:t xml:space="preserve"> v rámci</w:t>
      </w:r>
      <w:r>
        <w:t xml:space="preserve"> ekosystémov (monitorovacie činnosti by sa mohli zamerať najmä na druhy a biotopy najviac</w:t>
      </w:r>
      <w:r w:rsidR="00CF5E8B">
        <w:t xml:space="preserve"> </w:t>
      </w:r>
      <w:r>
        <w:t>zraniteľné vplyvom zmeny klímy a</w:t>
      </w:r>
      <w:r w:rsidR="00CF5E8B">
        <w:t xml:space="preserve"> na biotopy, ktoré sú </w:t>
      </w:r>
      <w:r>
        <w:t xml:space="preserve">najdôležitejšie pre </w:t>
      </w:r>
      <w:r w:rsidR="00CF5E8B">
        <w:t>CR</w:t>
      </w:r>
      <w:r>
        <w:t>);</w:t>
      </w:r>
    </w:p>
    <w:bookmarkEnd w:id="25"/>
    <w:p w14:paraId="5F877080" w14:textId="527CB88A" w:rsidR="00D403EF" w:rsidRDefault="00CB6F7C" w:rsidP="00D403EF">
      <w:pPr>
        <w:pStyle w:val="Odsekzoznamu"/>
        <w:numPr>
          <w:ilvl w:val="0"/>
          <w:numId w:val="29"/>
        </w:numPr>
        <w:jc w:val="both"/>
      </w:pPr>
      <w:r>
        <w:t xml:space="preserve">podporiť </w:t>
      </w:r>
      <w:r w:rsidRPr="00D403EF">
        <w:rPr>
          <w:b/>
        </w:rPr>
        <w:t xml:space="preserve">diverzifikáciu </w:t>
      </w:r>
      <w:r w:rsidR="00CF5E8B" w:rsidRPr="00D403EF">
        <w:rPr>
          <w:b/>
        </w:rPr>
        <w:t>produktov CR</w:t>
      </w:r>
      <w:r>
        <w:t>, napríklad: otvorenie nových "mikro</w:t>
      </w:r>
      <w:r w:rsidR="00CF5E8B">
        <w:t xml:space="preserve"> destinácií</w:t>
      </w:r>
      <w:r>
        <w:t>" a</w:t>
      </w:r>
      <w:r w:rsidR="00CF5E8B">
        <w:t> </w:t>
      </w:r>
      <w:r>
        <w:t>atrakcií</w:t>
      </w:r>
      <w:r w:rsidR="00CF5E8B">
        <w:t xml:space="preserve"> </w:t>
      </w:r>
      <w:r>
        <w:t xml:space="preserve">v rámci </w:t>
      </w:r>
      <w:r w:rsidR="00CF5E8B">
        <w:t>NP</w:t>
      </w:r>
      <w:r w:rsidR="00D403EF">
        <w:t xml:space="preserve"> (</w:t>
      </w:r>
      <w:r>
        <w:t xml:space="preserve">obzvlášť </w:t>
      </w:r>
      <w:r w:rsidR="00D403EF">
        <w:t xml:space="preserve">dôležitá je </w:t>
      </w:r>
      <w:r>
        <w:t>diverzifikácia</w:t>
      </w:r>
      <w:r w:rsidR="00D403EF">
        <w:t xml:space="preserve"> v prípade,</w:t>
      </w:r>
      <w:r>
        <w:t xml:space="preserve"> </w:t>
      </w:r>
      <w:r w:rsidR="00D403EF">
        <w:t>keď sú</w:t>
      </w:r>
      <w:r>
        <w:t xml:space="preserve"> ohrozené kľúčové prvky produktu </w:t>
      </w:r>
      <w:r w:rsidR="00D403EF">
        <w:t xml:space="preserve">CR, </w:t>
      </w:r>
      <w:r>
        <w:t>založeného na prírode</w:t>
      </w:r>
      <w:r w:rsidR="00D403EF">
        <w:t xml:space="preserve">, </w:t>
      </w:r>
      <w:r>
        <w:t>napr. pozorovanie ľadového medveďa</w:t>
      </w:r>
      <w:r w:rsidR="00CF5E8B">
        <w:t xml:space="preserve"> </w:t>
      </w:r>
      <w:r>
        <w:t>v severnej Kanade);</w:t>
      </w:r>
    </w:p>
    <w:p w14:paraId="20657396" w14:textId="01F84CFD" w:rsidR="00CB6F7C" w:rsidRDefault="00CB6F7C" w:rsidP="00CB6F7C">
      <w:pPr>
        <w:pStyle w:val="Odsekzoznamu"/>
        <w:numPr>
          <w:ilvl w:val="0"/>
          <w:numId w:val="29"/>
        </w:numPr>
        <w:jc w:val="both"/>
      </w:pPr>
      <w:r>
        <w:t xml:space="preserve">vykonať </w:t>
      </w:r>
      <w:r w:rsidRPr="00D403EF">
        <w:rPr>
          <w:b/>
        </w:rPr>
        <w:t xml:space="preserve">nové vymedzenie </w:t>
      </w:r>
      <w:r w:rsidR="00D403EF" w:rsidRPr="00D403EF">
        <w:rPr>
          <w:b/>
        </w:rPr>
        <w:t xml:space="preserve">NP a </w:t>
      </w:r>
      <w:r w:rsidRPr="00D403EF">
        <w:rPr>
          <w:b/>
        </w:rPr>
        <w:t>chránených území</w:t>
      </w:r>
      <w:r>
        <w:t xml:space="preserve">, napríklad revíziu </w:t>
      </w:r>
      <w:r w:rsidR="00D403EF">
        <w:t>zónovania</w:t>
      </w:r>
      <w:r>
        <w:t xml:space="preserve"> určitých území</w:t>
      </w:r>
      <w:r w:rsidR="00D403EF">
        <w:t xml:space="preserve">, </w:t>
      </w:r>
      <w:r>
        <w:t>rozšírenie chráneného územia na väčš</w:t>
      </w:r>
      <w:r w:rsidR="00D403EF">
        <w:t>iu plochu</w:t>
      </w:r>
      <w:r>
        <w:t>, vytvorenie migračných koridorov</w:t>
      </w:r>
      <w:r w:rsidR="00D403EF">
        <w:t xml:space="preserve"> pre </w:t>
      </w:r>
      <w:r>
        <w:t>ohrozené druhy;</w:t>
      </w:r>
    </w:p>
    <w:p w14:paraId="3196BB3B" w14:textId="34EA4DC5" w:rsidR="00D403EF" w:rsidRDefault="00CB6F7C" w:rsidP="00EC42BF">
      <w:pPr>
        <w:pStyle w:val="Odsekzoznamu"/>
        <w:numPr>
          <w:ilvl w:val="0"/>
          <w:numId w:val="29"/>
        </w:numPr>
        <w:jc w:val="both"/>
      </w:pPr>
      <w:r>
        <w:t xml:space="preserve">znížiť alebo </w:t>
      </w:r>
      <w:r w:rsidRPr="00C7714F">
        <w:rPr>
          <w:b/>
        </w:rPr>
        <w:t>odstrániť vonkajšie napätia</w:t>
      </w:r>
      <w:r>
        <w:t xml:space="preserve">, napríklad znečistenie </w:t>
      </w:r>
      <w:r w:rsidR="00905895">
        <w:t>z poľnohospodárstva (umelé hnojivá, pesticídy, odpadové vody);</w:t>
      </w:r>
    </w:p>
    <w:p w14:paraId="1F38C851" w14:textId="01416D72" w:rsidR="00905895" w:rsidRDefault="00CB6F7C" w:rsidP="00EC42BF">
      <w:pPr>
        <w:pStyle w:val="Odsekzoznamu"/>
        <w:numPr>
          <w:ilvl w:val="0"/>
          <w:numId w:val="29"/>
        </w:numPr>
        <w:jc w:val="both"/>
      </w:pPr>
      <w:r>
        <w:t xml:space="preserve">podporovať </w:t>
      </w:r>
      <w:r w:rsidRPr="00C7714F">
        <w:rPr>
          <w:b/>
        </w:rPr>
        <w:t>uplatňovanie metód integrovaného hodnotenia kapacity</w:t>
      </w:r>
      <w:r>
        <w:t xml:space="preserve"> </w:t>
      </w:r>
      <w:r w:rsidR="00C7714F" w:rsidRPr="00C7714F">
        <w:rPr>
          <w:b/>
        </w:rPr>
        <w:t>CR</w:t>
      </w:r>
      <w:r w:rsidRPr="00C7714F">
        <w:rPr>
          <w:b/>
        </w:rPr>
        <w:t xml:space="preserve"> </w:t>
      </w:r>
      <w:r>
        <w:t>(zváženie</w:t>
      </w:r>
      <w:r w:rsidR="00905895">
        <w:t xml:space="preserve"> </w:t>
      </w:r>
      <w:r>
        <w:t>fyzických, ekonomických, environmentálnych, sociokultúrnych a manažérskych aspektov) v chránených oblastiach</w:t>
      </w:r>
      <w:r w:rsidR="00905895">
        <w:t>;</w:t>
      </w:r>
    </w:p>
    <w:p w14:paraId="335A452F" w14:textId="7186B664" w:rsidR="00CB6F7C" w:rsidRDefault="00CB6F7C" w:rsidP="00CB6F7C">
      <w:pPr>
        <w:pStyle w:val="Odsekzoznamu"/>
        <w:numPr>
          <w:ilvl w:val="0"/>
          <w:numId w:val="29"/>
        </w:numPr>
        <w:jc w:val="both"/>
      </w:pPr>
      <w:r>
        <w:lastRenderedPageBreak/>
        <w:t xml:space="preserve">zlepšiť </w:t>
      </w:r>
      <w:r w:rsidRPr="00905895">
        <w:rPr>
          <w:b/>
        </w:rPr>
        <w:t>riadenie návštevnosti a preťaženia</w:t>
      </w:r>
      <w:r>
        <w:t xml:space="preserve">, aby sa zabránilo nadmernému využívaniu </w:t>
      </w:r>
      <w:r w:rsidR="00905895">
        <w:t xml:space="preserve">a ničeniu </w:t>
      </w:r>
      <w:r>
        <w:t>lokalít;</w:t>
      </w:r>
    </w:p>
    <w:p w14:paraId="6182550A" w14:textId="77777777" w:rsidR="00C7714F" w:rsidRDefault="00CB6F7C" w:rsidP="00EC42BF">
      <w:pPr>
        <w:pStyle w:val="Odsekzoznamu"/>
        <w:numPr>
          <w:ilvl w:val="0"/>
          <w:numId w:val="29"/>
        </w:numPr>
        <w:jc w:val="both"/>
      </w:pPr>
      <w:r w:rsidRPr="00C7714F">
        <w:rPr>
          <w:b/>
        </w:rPr>
        <w:t>podporovať</w:t>
      </w:r>
      <w:r w:rsidR="00905895" w:rsidRPr="00C7714F">
        <w:rPr>
          <w:b/>
        </w:rPr>
        <w:t xml:space="preserve"> mitigáciu</w:t>
      </w:r>
      <w:r w:rsidR="00905895">
        <w:t xml:space="preserve"> (znižovanie emisií skleníkových plynov)</w:t>
      </w:r>
      <w:r>
        <w:t xml:space="preserve"> </w:t>
      </w:r>
      <w:r w:rsidR="00905895">
        <w:t xml:space="preserve">medzi </w:t>
      </w:r>
      <w:r>
        <w:t>environmentáln</w:t>
      </w:r>
      <w:r w:rsidR="00905895">
        <w:t>e</w:t>
      </w:r>
      <w:r>
        <w:t xml:space="preserve"> </w:t>
      </w:r>
      <w:r w:rsidR="00905895">
        <w:t>zmýšľajúcimi návštevníkmi</w:t>
      </w:r>
    </w:p>
    <w:p w14:paraId="2BD07581" w14:textId="62F026D1" w:rsidR="00CB6F7C" w:rsidRDefault="00CB6F7C" w:rsidP="00CB6F7C">
      <w:pPr>
        <w:pStyle w:val="Odsekzoznamu"/>
        <w:numPr>
          <w:ilvl w:val="0"/>
          <w:numId w:val="29"/>
        </w:numPr>
        <w:jc w:val="both"/>
      </w:pPr>
      <w:r>
        <w:t xml:space="preserve">zabezpečiť </w:t>
      </w:r>
      <w:r w:rsidRPr="00C7714F">
        <w:rPr>
          <w:b/>
        </w:rPr>
        <w:t>aktívnu účasť miestnych komunít</w:t>
      </w:r>
      <w:r w:rsidR="00C7714F">
        <w:t>,</w:t>
      </w:r>
      <w:r>
        <w:t xml:space="preserve"> žijúcich v chránených oblastiach alebo v ich blízkosti v</w:t>
      </w:r>
      <w:r w:rsidR="00C7714F">
        <w:t> </w:t>
      </w:r>
      <w:r>
        <w:t>tvorb</w:t>
      </w:r>
      <w:r w:rsidR="00C7714F">
        <w:t>e politík</w:t>
      </w:r>
      <w:r>
        <w:t xml:space="preserve"> a</w:t>
      </w:r>
      <w:r w:rsidR="00C7714F">
        <w:t xml:space="preserve"> procesoch </w:t>
      </w:r>
      <w:r>
        <w:t>riadenia;</w:t>
      </w:r>
    </w:p>
    <w:p w14:paraId="4F2A5D30" w14:textId="0D9351A7" w:rsidR="00CB6F7C" w:rsidRDefault="00CB6F7C" w:rsidP="00C7714F">
      <w:pPr>
        <w:pStyle w:val="Odsekzoznamu"/>
        <w:numPr>
          <w:ilvl w:val="0"/>
          <w:numId w:val="29"/>
        </w:numPr>
        <w:jc w:val="both"/>
      </w:pPr>
      <w:r>
        <w:t xml:space="preserve">brať do úvahy miestne a tradičné poznatky </w:t>
      </w:r>
      <w:r w:rsidR="00C7714F">
        <w:t>k tvorbe</w:t>
      </w:r>
      <w:r>
        <w:t xml:space="preserve"> </w:t>
      </w:r>
      <w:r w:rsidR="00C7714F">
        <w:t>adaptačných opatrení a stratégií;</w:t>
      </w:r>
    </w:p>
    <w:p w14:paraId="5BDA00A7" w14:textId="769ECF84" w:rsidR="00CB6F7C" w:rsidRDefault="00CB6F7C" w:rsidP="00C7714F">
      <w:pPr>
        <w:pStyle w:val="Odsekzoznamu"/>
        <w:numPr>
          <w:ilvl w:val="0"/>
          <w:numId w:val="29"/>
        </w:numPr>
        <w:jc w:val="both"/>
      </w:pPr>
      <w:r>
        <w:t xml:space="preserve">rozvíjať replikovateľné metodiky a </w:t>
      </w:r>
      <w:r w:rsidRPr="00BD6BE0">
        <w:rPr>
          <w:b/>
        </w:rPr>
        <w:t>zdieľať poznatky</w:t>
      </w:r>
      <w:r>
        <w:t xml:space="preserve"> </w:t>
      </w:r>
      <w:r w:rsidR="00C7714F">
        <w:t>s podobnými destináciami;</w:t>
      </w:r>
    </w:p>
    <w:p w14:paraId="2E3A2DD3" w14:textId="1C14C2CA" w:rsidR="001D11EF" w:rsidRDefault="00EC42BF" w:rsidP="00B37B8C">
      <w:pPr>
        <w:rPr>
          <w:b/>
        </w:rPr>
      </w:pPr>
      <w:r w:rsidRPr="00EC42BF">
        <w:rPr>
          <w:b/>
        </w:rPr>
        <w:t>NAS</w:t>
      </w:r>
    </w:p>
    <w:p w14:paraId="6381866A" w14:textId="77777777" w:rsidR="00EC42BF" w:rsidRPr="00EC42BF" w:rsidRDefault="00EC42BF" w:rsidP="00B37B8C">
      <w:pPr>
        <w:rPr>
          <w:b/>
        </w:rPr>
      </w:pPr>
    </w:p>
    <w:p w14:paraId="45229C51" w14:textId="1EDE3364" w:rsidR="00F73CA0" w:rsidRDefault="00B37B8C" w:rsidP="00005312">
      <w:pPr>
        <w:spacing w:line="276" w:lineRule="auto"/>
        <w:jc w:val="both"/>
      </w:pPr>
      <w:r>
        <w:t>Pre podmienky Slovenska</w:t>
      </w:r>
      <w:r w:rsidR="00005312">
        <w:t xml:space="preserve"> Minďas a kol. (2011)</w:t>
      </w:r>
      <w:r>
        <w:t xml:space="preserve"> na základe doterajších poznatkov naformuloval</w:t>
      </w:r>
      <w:r w:rsidR="00005312">
        <w:t xml:space="preserve"> </w:t>
      </w:r>
      <w:r>
        <w:t xml:space="preserve">nasledovné rámcové adaptačné opatrenia pre oblasť </w:t>
      </w:r>
      <w:r w:rsidR="00005312">
        <w:t>CR</w:t>
      </w:r>
      <w:r>
        <w:t xml:space="preserve">: </w:t>
      </w:r>
    </w:p>
    <w:p w14:paraId="5F2EA89C" w14:textId="375F1B0D" w:rsidR="00F73CA0" w:rsidRDefault="00B37B8C" w:rsidP="00F73CA0">
      <w:pPr>
        <w:pStyle w:val="Odsekzoznamu"/>
        <w:numPr>
          <w:ilvl w:val="0"/>
          <w:numId w:val="11"/>
        </w:numPr>
        <w:spacing w:line="276" w:lineRule="auto"/>
        <w:jc w:val="both"/>
      </w:pPr>
      <w:r>
        <w:t xml:space="preserve">Na národnej úrovni zapracovať riziká zmeny klímy pre oblasť cestovného ruchu na Slovensku do strategických rozvojových aktivít v oblasti cestovného ruchu </w:t>
      </w:r>
    </w:p>
    <w:p w14:paraId="60FC25D1" w14:textId="2DEC2FC3" w:rsidR="00F73CA0" w:rsidRDefault="00B37B8C" w:rsidP="00F73CA0">
      <w:pPr>
        <w:pStyle w:val="Odsekzoznamu"/>
        <w:numPr>
          <w:ilvl w:val="0"/>
          <w:numId w:val="11"/>
        </w:numPr>
        <w:spacing w:line="276" w:lineRule="auto"/>
        <w:jc w:val="both"/>
      </w:pPr>
      <w:r>
        <w:t xml:space="preserve">Vypracovať regionálne štúdie dôsledkov zmeny klímy pre jednotlivé turistické regióny Slovenska so zohľadnením ich špecifík </w:t>
      </w:r>
    </w:p>
    <w:p w14:paraId="722C6E00" w14:textId="35F102F6" w:rsidR="00F73CA0" w:rsidRDefault="00B37B8C" w:rsidP="00F73CA0">
      <w:pPr>
        <w:pStyle w:val="Odsekzoznamu"/>
        <w:numPr>
          <w:ilvl w:val="0"/>
          <w:numId w:val="11"/>
        </w:numPr>
        <w:spacing w:line="276" w:lineRule="auto"/>
        <w:jc w:val="both"/>
      </w:pPr>
      <w:r>
        <w:t xml:space="preserve">Dobudovať infraštruktúru zimných stredísk najmä s ohľadom zvýšenia zabezpečenosti umelej snehovej pokrývky </w:t>
      </w:r>
    </w:p>
    <w:p w14:paraId="5ECC72BF" w14:textId="6A0B730D" w:rsidR="00F73CA0" w:rsidRDefault="00B37B8C" w:rsidP="00F73CA0">
      <w:pPr>
        <w:pStyle w:val="Odsekzoznamu"/>
        <w:numPr>
          <w:ilvl w:val="0"/>
          <w:numId w:val="11"/>
        </w:numPr>
        <w:spacing w:line="276" w:lineRule="auto"/>
        <w:jc w:val="both"/>
      </w:pPr>
      <w:r>
        <w:t xml:space="preserve">Vypracovať funkčný systém komplexných informačných centier v hlavných strediskách cestovného ruchu s on-line poskytovaním informácií (meteo, podmienky pre turistiku, nebezpečné javy, služby, ponuky atď.) a zabezpečiť ich vybudovanie </w:t>
      </w:r>
    </w:p>
    <w:p w14:paraId="2AC37348" w14:textId="77EC5C15" w:rsidR="00B37B8C" w:rsidRPr="00B37B8C" w:rsidRDefault="00B37B8C" w:rsidP="00F73CA0">
      <w:pPr>
        <w:pStyle w:val="Odsekzoznamu"/>
        <w:numPr>
          <w:ilvl w:val="0"/>
          <w:numId w:val="11"/>
        </w:numPr>
        <w:spacing w:line="276" w:lineRule="auto"/>
        <w:jc w:val="both"/>
      </w:pPr>
      <w:r>
        <w:t>Dobudovanie systémov bezpečnosti pre turistov – technické a kapacitné posilnenie stredísk horskej záchrannej služby, rýchlej zdravotnej pomoci v turistických centrách a strediska protilavínovej prevencie</w:t>
      </w:r>
    </w:p>
    <w:p w14:paraId="082A1A56" w14:textId="5240F95B" w:rsidR="00D76FF3" w:rsidRDefault="00D76FF3" w:rsidP="0038174C">
      <w:pPr>
        <w:spacing w:line="276" w:lineRule="auto"/>
      </w:pPr>
    </w:p>
    <w:p w14:paraId="21AB0708" w14:textId="7C1BA377" w:rsidR="00D76FF3" w:rsidRDefault="00EC42BF" w:rsidP="00EC42BF">
      <w:pPr>
        <w:pStyle w:val="Nadpis3"/>
        <w:numPr>
          <w:ilvl w:val="2"/>
          <w:numId w:val="5"/>
        </w:numPr>
      </w:pPr>
      <w:bookmarkStart w:id="26" w:name="_Toc509383587"/>
      <w:r>
        <w:t>Konkrétna aplikácia adaptačného opatrenia v NP Slovenský raj (projektový zámer)</w:t>
      </w:r>
      <w:bookmarkEnd w:id="26"/>
      <w:r>
        <w:t xml:space="preserve"> </w:t>
      </w:r>
    </w:p>
    <w:p w14:paraId="339BD3DD" w14:textId="77777777" w:rsidR="00EC42BF" w:rsidRPr="00EC42BF" w:rsidRDefault="00EC42BF" w:rsidP="00EC42BF">
      <w:pPr>
        <w:pStyle w:val="Odsekzoznamu"/>
        <w:ind w:left="1440"/>
      </w:pPr>
    </w:p>
    <w:p w14:paraId="3CBB4D56" w14:textId="7892BB79" w:rsidR="00EC42BF" w:rsidRDefault="00EC42BF" w:rsidP="0038174C">
      <w:pPr>
        <w:spacing w:line="276" w:lineRule="auto"/>
      </w:pPr>
    </w:p>
    <w:p w14:paraId="302F0BFE" w14:textId="77777777" w:rsidR="00EC42BF" w:rsidRDefault="00EC42BF" w:rsidP="0038174C">
      <w:pPr>
        <w:spacing w:line="276" w:lineRule="auto"/>
      </w:pPr>
    </w:p>
    <w:p w14:paraId="0C7CE4B8" w14:textId="77777777" w:rsidR="00B653F2" w:rsidRDefault="00B653F2" w:rsidP="0038174C">
      <w:pPr>
        <w:spacing w:line="276" w:lineRule="auto"/>
      </w:pPr>
    </w:p>
    <w:p w14:paraId="2DF658CB" w14:textId="61296CC3" w:rsidR="00EA791C" w:rsidRDefault="00EA791C" w:rsidP="0038174C">
      <w:pPr>
        <w:spacing w:line="276" w:lineRule="auto"/>
      </w:pPr>
      <w:r>
        <w:t xml:space="preserve">Inštitucionálny a legislatívny rámec </w:t>
      </w:r>
    </w:p>
    <w:p w14:paraId="7286C8BE" w14:textId="166AA73C" w:rsidR="003D45B2" w:rsidRDefault="003D45B2" w:rsidP="0038174C">
      <w:pPr>
        <w:spacing w:line="276" w:lineRule="auto"/>
      </w:pPr>
      <w:r>
        <w:t>Analýza kri NP S</w:t>
      </w:r>
      <w:r w:rsidR="00882715">
        <w:t>R</w:t>
      </w:r>
    </w:p>
    <w:p w14:paraId="360DFEE1" w14:textId="77777777" w:rsidR="00EA791C" w:rsidRPr="00EA791C" w:rsidRDefault="00EA791C" w:rsidP="0038174C">
      <w:pPr>
        <w:pStyle w:val="Textpoznmkypodiarou"/>
        <w:spacing w:line="276" w:lineRule="auto"/>
        <w:jc w:val="both"/>
        <w:rPr>
          <w:sz w:val="22"/>
          <w:szCs w:val="22"/>
        </w:rPr>
      </w:pPr>
      <w:r w:rsidRPr="00EA791C">
        <w:rPr>
          <w:sz w:val="22"/>
          <w:szCs w:val="22"/>
        </w:rPr>
        <w:t xml:space="preserve">Správy národných parkov, ako aj krajské a oblastné organizácie cestovného ruchu (hlavným účelom týchto organizácií je podpora CR aktívnym vytváraním podmienok a realizáciou aktivít zameraných na rozvoj CR na príslušnom území), ako aj zastrešujúca Sekcia cestovného ruchu, ktorá spadá pod Ministerstvo dopravy a výstavby SR sa s problémami v súvislosti so zmenou klímy, resp. s jej dopadmi a možnosťami adaptácie systematicky nezaoberajú. – toto je dosť kľúčová info, len neviem, či sem do </w:t>
      </w:r>
      <w:r w:rsidRPr="00EA791C">
        <w:rPr>
          <w:sz w:val="22"/>
          <w:szCs w:val="22"/>
        </w:rPr>
        <w:lastRenderedPageBreak/>
        <w:t>výstupy „Príklady ..“ – asi skôr do analýzy, ako popis rámca, v ktorom sme projekt riešili, resp. aj do odporúčaní, že by sa tým mali zaoberať, ak majú byť realizované systematické riešenia</w:t>
      </w:r>
    </w:p>
    <w:p w14:paraId="2EF632F7" w14:textId="149E78C0" w:rsidR="00EA791C" w:rsidRDefault="00EA791C" w:rsidP="0038174C">
      <w:pPr>
        <w:spacing w:line="276" w:lineRule="auto"/>
      </w:pPr>
    </w:p>
    <w:p w14:paraId="1E8B09F6" w14:textId="5709DC49" w:rsidR="00882715" w:rsidRDefault="00882715" w:rsidP="0038174C">
      <w:pPr>
        <w:spacing w:line="276" w:lineRule="auto"/>
      </w:pPr>
    </w:p>
    <w:p w14:paraId="3054C605" w14:textId="3F3D7E11" w:rsidR="00882715" w:rsidRDefault="00882715" w:rsidP="0038174C">
      <w:pPr>
        <w:spacing w:line="276" w:lineRule="auto"/>
      </w:pPr>
    </w:p>
    <w:p w14:paraId="351A1A42" w14:textId="456E25C6" w:rsidR="00882715" w:rsidRDefault="00882715" w:rsidP="0038174C">
      <w:pPr>
        <w:spacing w:line="276" w:lineRule="auto"/>
      </w:pPr>
    </w:p>
    <w:p w14:paraId="2DAC07EE" w14:textId="3BB8F7A0" w:rsidR="00882715" w:rsidRDefault="00882715" w:rsidP="0038174C">
      <w:pPr>
        <w:spacing w:line="276" w:lineRule="auto"/>
      </w:pPr>
    </w:p>
    <w:p w14:paraId="42007783" w14:textId="26F5B3E2" w:rsidR="00882715" w:rsidRDefault="00882715" w:rsidP="0038174C">
      <w:pPr>
        <w:spacing w:line="276" w:lineRule="auto"/>
      </w:pPr>
    </w:p>
    <w:p w14:paraId="3B02B008" w14:textId="7127EEF5" w:rsidR="00882715" w:rsidRDefault="00882715" w:rsidP="0038174C">
      <w:pPr>
        <w:spacing w:line="276" w:lineRule="auto"/>
      </w:pPr>
    </w:p>
    <w:p w14:paraId="240714DB" w14:textId="3EB7E61B" w:rsidR="00882715" w:rsidRDefault="00882715" w:rsidP="0038174C">
      <w:pPr>
        <w:spacing w:line="276" w:lineRule="auto"/>
      </w:pPr>
    </w:p>
    <w:p w14:paraId="30037DC4" w14:textId="10FC8785" w:rsidR="00882715" w:rsidRDefault="00882715" w:rsidP="0038174C">
      <w:pPr>
        <w:spacing w:line="276" w:lineRule="auto"/>
      </w:pPr>
    </w:p>
    <w:p w14:paraId="42E7BF73" w14:textId="4FA87937" w:rsidR="00882715" w:rsidRDefault="00882715" w:rsidP="0038174C">
      <w:pPr>
        <w:spacing w:line="276" w:lineRule="auto"/>
      </w:pPr>
    </w:p>
    <w:p w14:paraId="0D3F160A" w14:textId="483D360E" w:rsidR="00882715" w:rsidRDefault="00882715" w:rsidP="0038174C">
      <w:pPr>
        <w:spacing w:line="276" w:lineRule="auto"/>
      </w:pPr>
    </w:p>
    <w:p w14:paraId="6F4F884E" w14:textId="592D14A4" w:rsidR="00882715" w:rsidRDefault="00882715" w:rsidP="0038174C">
      <w:pPr>
        <w:spacing w:line="276" w:lineRule="auto"/>
      </w:pPr>
    </w:p>
    <w:p w14:paraId="317DBE9B" w14:textId="400610C8" w:rsidR="00882715" w:rsidRDefault="00882715" w:rsidP="0038174C">
      <w:pPr>
        <w:spacing w:line="276" w:lineRule="auto"/>
      </w:pPr>
    </w:p>
    <w:p w14:paraId="43BEA5A4" w14:textId="03E56E62" w:rsidR="00882715" w:rsidRDefault="00882715" w:rsidP="0038174C">
      <w:pPr>
        <w:spacing w:line="276" w:lineRule="auto"/>
      </w:pPr>
    </w:p>
    <w:p w14:paraId="13C84500" w14:textId="050BC89A" w:rsidR="00882715" w:rsidRDefault="00882715" w:rsidP="0038174C">
      <w:pPr>
        <w:spacing w:line="276" w:lineRule="auto"/>
      </w:pPr>
    </w:p>
    <w:p w14:paraId="301B66E1" w14:textId="2646A2A7" w:rsidR="00882715" w:rsidRDefault="00882715" w:rsidP="0038174C">
      <w:pPr>
        <w:spacing w:line="276" w:lineRule="auto"/>
      </w:pPr>
    </w:p>
    <w:p w14:paraId="7EDA9D22" w14:textId="23CB1199" w:rsidR="00882715" w:rsidRDefault="00882715" w:rsidP="0038174C">
      <w:pPr>
        <w:spacing w:line="276" w:lineRule="auto"/>
      </w:pPr>
    </w:p>
    <w:p w14:paraId="406ED1F4" w14:textId="76796065" w:rsidR="00882715" w:rsidRDefault="00882715" w:rsidP="0038174C">
      <w:pPr>
        <w:spacing w:line="276" w:lineRule="auto"/>
      </w:pPr>
    </w:p>
    <w:p w14:paraId="2973EBF8" w14:textId="5F304483" w:rsidR="00882715" w:rsidRDefault="00882715" w:rsidP="0038174C">
      <w:pPr>
        <w:spacing w:line="276" w:lineRule="auto"/>
      </w:pPr>
    </w:p>
    <w:p w14:paraId="59C13100" w14:textId="6381BDEA" w:rsidR="00882715" w:rsidRDefault="00882715" w:rsidP="0038174C">
      <w:pPr>
        <w:spacing w:line="276" w:lineRule="auto"/>
      </w:pPr>
    </w:p>
    <w:p w14:paraId="035FAFF3" w14:textId="08EDAD03" w:rsidR="00882715" w:rsidRDefault="00882715" w:rsidP="0038174C">
      <w:pPr>
        <w:spacing w:line="276" w:lineRule="auto"/>
      </w:pPr>
    </w:p>
    <w:p w14:paraId="2112F441" w14:textId="6F3122E0" w:rsidR="00882715" w:rsidRDefault="00882715" w:rsidP="0038174C">
      <w:pPr>
        <w:spacing w:line="276" w:lineRule="auto"/>
      </w:pPr>
    </w:p>
    <w:p w14:paraId="4B13CD3B" w14:textId="51B532F7" w:rsidR="00882715" w:rsidRDefault="00882715" w:rsidP="0038174C">
      <w:pPr>
        <w:spacing w:line="276" w:lineRule="auto"/>
      </w:pPr>
    </w:p>
    <w:p w14:paraId="2F71021A" w14:textId="1D6A6727" w:rsidR="00882715" w:rsidRDefault="00882715" w:rsidP="0038174C">
      <w:pPr>
        <w:spacing w:line="276" w:lineRule="auto"/>
      </w:pPr>
    </w:p>
    <w:p w14:paraId="1604167E" w14:textId="35DF92A7" w:rsidR="00882715" w:rsidRDefault="00882715" w:rsidP="0038174C">
      <w:pPr>
        <w:spacing w:line="276" w:lineRule="auto"/>
      </w:pPr>
    </w:p>
    <w:p w14:paraId="5D09D0F4" w14:textId="5CA21AFF" w:rsidR="00882715" w:rsidRDefault="00882715" w:rsidP="0038174C">
      <w:pPr>
        <w:spacing w:line="276" w:lineRule="auto"/>
      </w:pPr>
    </w:p>
    <w:p w14:paraId="51F29A3A" w14:textId="63138AFE" w:rsidR="00882715" w:rsidRDefault="00882715" w:rsidP="0038174C">
      <w:pPr>
        <w:spacing w:line="276" w:lineRule="auto"/>
      </w:pPr>
    </w:p>
    <w:p w14:paraId="7FC83000" w14:textId="3DE66843" w:rsidR="00882715" w:rsidRDefault="00882715" w:rsidP="0038174C">
      <w:pPr>
        <w:spacing w:line="276" w:lineRule="auto"/>
      </w:pPr>
    </w:p>
    <w:p w14:paraId="69B9286E" w14:textId="7F50EFDB" w:rsidR="00882715" w:rsidRDefault="00882715" w:rsidP="0038174C">
      <w:pPr>
        <w:spacing w:line="276" w:lineRule="auto"/>
      </w:pPr>
    </w:p>
    <w:p w14:paraId="5F0E93FA" w14:textId="75070D4F" w:rsidR="00882715" w:rsidRDefault="00882715" w:rsidP="0038174C">
      <w:pPr>
        <w:spacing w:line="276" w:lineRule="auto"/>
      </w:pPr>
      <w:r>
        <w:t>Bibliografia</w:t>
      </w:r>
    </w:p>
    <w:p w14:paraId="63054107" w14:textId="7029A4EA" w:rsidR="000270C2" w:rsidRPr="000270C2" w:rsidRDefault="000270C2" w:rsidP="0038174C">
      <w:pPr>
        <w:spacing w:line="276" w:lineRule="auto"/>
      </w:pPr>
      <w:bookmarkStart w:id="27" w:name="_Hlk507762349"/>
      <w:r>
        <w:t>World Tourism Organization and United Nations Environment Programme (UNWTO, UNEP), 2008. Climate Change and Tourism – Responding to Global Challenges.</w:t>
      </w:r>
    </w:p>
    <w:p w14:paraId="3C0127A7" w14:textId="3038C530" w:rsidR="008D0006" w:rsidRDefault="000270C2" w:rsidP="0038174C">
      <w:pPr>
        <w:spacing w:line="276" w:lineRule="auto"/>
        <w:rPr>
          <w:rFonts w:cstheme="minorHAnsi"/>
          <w:spacing w:val="5"/>
          <w:shd w:val="clear" w:color="auto" w:fill="FFFFFF"/>
        </w:rPr>
      </w:pPr>
      <w:r>
        <w:rPr>
          <w:rFonts w:cstheme="minorHAnsi"/>
        </w:rPr>
        <w:t xml:space="preserve">Demiroglu </w:t>
      </w:r>
      <w:r w:rsidR="008D0006" w:rsidRPr="008D0006">
        <w:rPr>
          <w:rFonts w:cstheme="minorHAnsi"/>
          <w:spacing w:val="5"/>
          <w:shd w:val="clear" w:color="auto" w:fill="FFFFFF"/>
        </w:rPr>
        <w:t>O. Cenk</w:t>
      </w:r>
      <w:r w:rsidR="008D0006">
        <w:rPr>
          <w:rFonts w:cstheme="minorHAnsi"/>
          <w:spacing w:val="5"/>
          <w:shd w:val="clear" w:color="auto" w:fill="FFFFFF"/>
        </w:rPr>
        <w:t>,</w:t>
      </w:r>
      <w:r w:rsidR="008D0006" w:rsidRPr="008D0006">
        <w:rPr>
          <w:rFonts w:cstheme="minorHAnsi"/>
          <w:spacing w:val="5"/>
          <w:shd w:val="clear" w:color="auto" w:fill="FFFFFF"/>
        </w:rPr>
        <w:t> </w:t>
      </w:r>
      <w:hyperlink r:id="rId37" w:history="1">
        <w:r w:rsidR="008D0006" w:rsidRPr="008D0006">
          <w:rPr>
            <w:rStyle w:val="Hypertextovprepojenie"/>
            <w:rFonts w:cstheme="minorHAnsi"/>
            <w:color w:val="auto"/>
            <w:spacing w:val="5"/>
            <w:u w:val="none"/>
            <w:shd w:val="clear" w:color="auto" w:fill="FFFFFF"/>
          </w:rPr>
          <w:t>Jana Kučerová</w:t>
        </w:r>
      </w:hyperlink>
      <w:r w:rsidR="008D0006">
        <w:rPr>
          <w:rFonts w:cstheme="minorHAnsi"/>
          <w:spacing w:val="5"/>
          <w:shd w:val="clear" w:color="auto" w:fill="FFFFFF"/>
        </w:rPr>
        <w:t xml:space="preserve"> a</w:t>
      </w:r>
      <w:r w:rsidR="008D0006" w:rsidRPr="008D0006">
        <w:rPr>
          <w:rFonts w:cstheme="minorHAnsi"/>
          <w:spacing w:val="5"/>
          <w:shd w:val="clear" w:color="auto" w:fill="FFFFFF"/>
        </w:rPr>
        <w:t> </w:t>
      </w:r>
      <w:hyperlink r:id="rId38" w:history="1">
        <w:r w:rsidR="008D0006" w:rsidRPr="008D0006">
          <w:rPr>
            <w:rStyle w:val="Hypertextovprepojenie"/>
            <w:rFonts w:cstheme="minorHAnsi"/>
            <w:color w:val="auto"/>
            <w:spacing w:val="5"/>
            <w:u w:val="none"/>
            <w:shd w:val="clear" w:color="auto" w:fill="FFFFFF"/>
          </w:rPr>
          <w:t>Oguzhan Ozcelebi</w:t>
        </w:r>
      </w:hyperlink>
      <w:r w:rsidR="008D0006" w:rsidRPr="008D0006">
        <w:rPr>
          <w:rFonts w:cstheme="minorHAnsi"/>
          <w:spacing w:val="5"/>
          <w:shd w:val="clear" w:color="auto" w:fill="FFFFFF"/>
        </w:rPr>
        <w:t>, 2015</w:t>
      </w:r>
      <w:r w:rsidR="008D0006">
        <w:rPr>
          <w:rFonts w:cstheme="minorHAnsi"/>
          <w:spacing w:val="5"/>
          <w:shd w:val="clear" w:color="auto" w:fill="FFFFFF"/>
        </w:rPr>
        <w:t>.</w:t>
      </w:r>
      <w:r w:rsidR="008D0006" w:rsidRPr="008D0006">
        <w:rPr>
          <w:rFonts w:cstheme="minorHAnsi"/>
          <w:spacing w:val="5"/>
          <w:shd w:val="clear" w:color="auto" w:fill="FFFFFF"/>
        </w:rPr>
        <w:t xml:space="preserve"> Snow reliability and climate elasticity: case of a Slovak ski resort, </w:t>
      </w:r>
      <w:r w:rsidR="008D0006" w:rsidRPr="008D0006">
        <w:rPr>
          <w:rFonts w:cstheme="minorHAnsi"/>
        </w:rPr>
        <w:t>Tourism Review</w:t>
      </w:r>
      <w:r w:rsidR="008D0006" w:rsidRPr="008D0006">
        <w:rPr>
          <w:rFonts w:cstheme="minorHAnsi"/>
          <w:spacing w:val="5"/>
          <w:shd w:val="clear" w:color="auto" w:fill="FFFFFF"/>
        </w:rPr>
        <w:t>, Vol. 70 Issue: 1, pp.1-12, </w:t>
      </w:r>
    </w:p>
    <w:p w14:paraId="0A16240A" w14:textId="77542723" w:rsidR="00B2488E" w:rsidRPr="008D0006" w:rsidRDefault="00B2488E" w:rsidP="0038174C">
      <w:pPr>
        <w:spacing w:line="276" w:lineRule="auto"/>
        <w:rPr>
          <w:rFonts w:cstheme="minorHAnsi"/>
        </w:rPr>
      </w:pPr>
      <w:r>
        <w:rPr>
          <w:rFonts w:cstheme="minorHAnsi"/>
          <w:spacing w:val="5"/>
          <w:shd w:val="clear" w:color="auto" w:fill="FFFFFF"/>
        </w:rPr>
        <w:t xml:space="preserve">Košický samosprávny kraj, 2009. </w:t>
      </w:r>
      <w:r w:rsidRPr="00B2488E">
        <w:rPr>
          <w:rFonts w:cstheme="minorHAnsi"/>
          <w:spacing w:val="5"/>
          <w:shd w:val="clear" w:color="auto" w:fill="FFFFFF"/>
        </w:rPr>
        <w:t>Stratégia rozvoja CR v regióne NP Slovenský raj</w:t>
      </w:r>
      <w:r>
        <w:rPr>
          <w:rFonts w:cstheme="minorHAnsi"/>
          <w:spacing w:val="5"/>
          <w:shd w:val="clear" w:color="auto" w:fill="FFFFFF"/>
        </w:rPr>
        <w:t>.</w:t>
      </w:r>
    </w:p>
    <w:bookmarkEnd w:id="27"/>
    <w:p w14:paraId="58296C1C" w14:textId="77777777" w:rsidR="00A3616E" w:rsidRDefault="00882715" w:rsidP="0038174C">
      <w:pPr>
        <w:spacing w:line="276" w:lineRule="auto"/>
      </w:pPr>
      <w:r>
        <w:t>KRI (Karpatský rozvojový inštitút), 2014. Stratégia rozvoja územia Slovenský raj s dôrazom na rozvoj cestovného ruchu na obdobie rokov 2015 – 2020, výhľadovo 2025.</w:t>
      </w:r>
    </w:p>
    <w:p w14:paraId="2A96893C" w14:textId="72847459" w:rsidR="00882715" w:rsidRDefault="00A3616E" w:rsidP="0038174C">
      <w:pPr>
        <w:spacing w:line="276" w:lineRule="auto"/>
      </w:pPr>
      <w:r>
        <w:t>Mindaš, J. a kol., 2011. Dôsledky klimatickej zmeny a možné adaptačné opatrenia v jednotlivých sektoroch, EFRA – vedecká agentúra pre lesníctvo a ekológiu, Zvolen.</w:t>
      </w:r>
    </w:p>
    <w:p w14:paraId="132B7555" w14:textId="2B6E5DBF" w:rsidR="006D0FF0" w:rsidRDefault="006D0FF0" w:rsidP="0038174C">
      <w:pPr>
        <w:spacing w:line="276" w:lineRule="auto"/>
      </w:pPr>
      <w:r>
        <w:t xml:space="preserve">Ministerstvo životného prostredia, 2017. Stratégia adaptácie Slovenskej republiky na nepriaznivé dôsledky zmeny klímy – aktualizácia. </w:t>
      </w:r>
    </w:p>
    <w:p w14:paraId="481F0E68" w14:textId="53721008" w:rsidR="00643262" w:rsidRDefault="00643262" w:rsidP="0038174C">
      <w:pPr>
        <w:spacing w:line="276" w:lineRule="auto"/>
      </w:pPr>
      <w:r>
        <w:t>SHMÚ</w:t>
      </w:r>
      <w:r w:rsidR="00F6294C">
        <w:t>, 2018. Posúdenie vplyvu prebiehajúcej a očakávanej zmeny klímy na turistický ruch v oblasti NP Slovenský raj a jeho okolia.</w:t>
      </w:r>
    </w:p>
    <w:p w14:paraId="59DDDE3E" w14:textId="77777777" w:rsidR="008D0006" w:rsidRPr="00EA791C" w:rsidRDefault="008D0006" w:rsidP="0038174C">
      <w:pPr>
        <w:spacing w:line="276" w:lineRule="auto"/>
      </w:pPr>
    </w:p>
    <w:sectPr w:rsidR="008D0006" w:rsidRPr="00EA791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2B1A6A" w14:textId="77777777" w:rsidR="00AA43A2" w:rsidRDefault="00AA43A2" w:rsidP="00B83633">
      <w:pPr>
        <w:spacing w:after="0" w:line="240" w:lineRule="auto"/>
      </w:pPr>
      <w:r>
        <w:separator/>
      </w:r>
    </w:p>
  </w:endnote>
  <w:endnote w:type="continuationSeparator" w:id="0">
    <w:p w14:paraId="7490541E" w14:textId="77777777" w:rsidR="00AA43A2" w:rsidRDefault="00AA43A2" w:rsidP="00B836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MDDLIG+Arial">
    <w:altName w:val="Arial"/>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MDDKIG+TimesNew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CFDB5C" w14:textId="77777777" w:rsidR="00AA43A2" w:rsidRDefault="00AA43A2" w:rsidP="00B83633">
      <w:pPr>
        <w:spacing w:after="0" w:line="240" w:lineRule="auto"/>
      </w:pPr>
      <w:r>
        <w:separator/>
      </w:r>
    </w:p>
  </w:footnote>
  <w:footnote w:type="continuationSeparator" w:id="0">
    <w:p w14:paraId="6E0555E6" w14:textId="77777777" w:rsidR="00AA43A2" w:rsidRDefault="00AA43A2" w:rsidP="00B83633">
      <w:pPr>
        <w:spacing w:after="0" w:line="240" w:lineRule="auto"/>
      </w:pPr>
      <w:r>
        <w:continuationSeparator/>
      </w:r>
    </w:p>
  </w:footnote>
  <w:footnote w:id="1">
    <w:p w14:paraId="6EE846F2" w14:textId="159CE77C" w:rsidR="00771BF9" w:rsidRPr="003A608C" w:rsidRDefault="00771BF9" w:rsidP="003A608C">
      <w:pPr>
        <w:pStyle w:val="Textpoznmkypodiarou"/>
        <w:jc w:val="both"/>
        <w:rPr>
          <w:sz w:val="18"/>
          <w:szCs w:val="18"/>
        </w:rPr>
      </w:pPr>
      <w:r>
        <w:rPr>
          <w:rStyle w:val="Odkaznapoznmkupodiarou"/>
        </w:rPr>
        <w:footnoteRef/>
      </w:r>
      <w:r>
        <w:t xml:space="preserve"> </w:t>
      </w:r>
      <w:r w:rsidRPr="003A608C">
        <w:rPr>
          <w:sz w:val="18"/>
          <w:szCs w:val="18"/>
        </w:rPr>
        <w:t>Táto vodná stavba je dôležitou súčasťou sústavy vodných stavieb (VS) Dobšiná, ktorá akumuláciou vody vo svojom</w:t>
      </w:r>
      <w:r>
        <w:rPr>
          <w:sz w:val="18"/>
          <w:szCs w:val="18"/>
        </w:rPr>
        <w:t xml:space="preserve"> </w:t>
      </w:r>
      <w:r w:rsidRPr="003A608C">
        <w:rPr>
          <w:sz w:val="18"/>
          <w:szCs w:val="18"/>
        </w:rPr>
        <w:t>zásobnom priestore vytvára hydroenergetický potenciál pre vysokotlakovú vodnú elektráreň. Sústava je situovaná do povodí riek Hnilec a Slaná v západnej časti Volovských vrchov, na juhovýchodnom okraji Slovenského raja. Výstavba tejto sústavy bola zahájená v roku 1948</w:t>
      </w:r>
      <w:r>
        <w:rPr>
          <w:sz w:val="18"/>
          <w:szCs w:val="18"/>
        </w:rPr>
        <w:t xml:space="preserve">. </w:t>
      </w:r>
      <w:r>
        <w:t>Hlavným účelom vodnej stavby Palcmanská Maša je akumulácia vody pre výrobu elektrickej energie, ďalšími účelmi sú vyrovnávanie prietokov Hnilca a rekreácia.</w:t>
      </w:r>
    </w:p>
  </w:footnote>
  <w:footnote w:id="2">
    <w:p w14:paraId="08225142" w14:textId="5F8AFEBC" w:rsidR="00771BF9" w:rsidRPr="00CF0B75" w:rsidRDefault="00771BF9" w:rsidP="00CF0B75">
      <w:pPr>
        <w:pStyle w:val="Textpoznmkypodiarou"/>
        <w:jc w:val="both"/>
        <w:rPr>
          <w:sz w:val="18"/>
        </w:rPr>
      </w:pPr>
      <w:r>
        <w:rPr>
          <w:rStyle w:val="Odkaznapoznmkupodiarou"/>
        </w:rPr>
        <w:footnoteRef/>
      </w:r>
      <w:r>
        <w:t xml:space="preserve"> Ak sa má realizovať </w:t>
      </w:r>
      <w:r>
        <w:rPr>
          <w:sz w:val="18"/>
          <w:szCs w:val="18"/>
        </w:rPr>
        <w:t>p</w:t>
      </w:r>
      <w:r w:rsidRPr="00CF0B75">
        <w:rPr>
          <w:sz w:val="18"/>
          <w:szCs w:val="18"/>
        </w:rPr>
        <w:t>riaznivý nárast letného turistického potenciálu, musí byť podporený oveľa kvalitnejšími službami, hlavne v ponuke športových a voľnočasových aktivít, dobudovanej infraštruktúry turistických centier a zabezpečenia informovanosti a bezpečnosti turistov. Zo zahraničných skúseností je</w:t>
      </w:r>
      <w:r>
        <w:t xml:space="preserve"> zrejmé, že využiteľnosť turistického </w:t>
      </w:r>
      <w:r w:rsidRPr="00CF0B75">
        <w:rPr>
          <w:sz w:val="18"/>
        </w:rPr>
        <w:t>potenciálu rastie s komplexnosťou vybavenia turistických centier. Len centrá, ktoré majú širokú ponuku ubytovacích, stravovacích, športových, voľnočasových a informačných služieb, majú šancu naplno využívať turistický potenciál danej lokality</w:t>
      </w:r>
      <w:r>
        <w:rPr>
          <w:sz w:val="18"/>
        </w:rPr>
        <w:t xml:space="preserve"> (Minďaš a kol. 2011).</w:t>
      </w:r>
    </w:p>
  </w:footnote>
  <w:footnote w:id="3">
    <w:p w14:paraId="5086E652" w14:textId="77777777" w:rsidR="00771BF9" w:rsidRDefault="00771BF9" w:rsidP="002B705C">
      <w:pPr>
        <w:pStyle w:val="Textpoznmkypodiarou"/>
      </w:pPr>
      <w:r>
        <w:rPr>
          <w:rStyle w:val="Odkaznapoznmkupodiarou"/>
        </w:rPr>
        <w:footnoteRef/>
      </w:r>
      <w:r>
        <w:t xml:space="preserve"> Neexistujú oficiálne dáta mapujúce návštevnosť pre jednotlivé produkty, okrem návštevnosti v roklinách NP Slovenský raj a v Dobšinskej ľadovej jaskyni. Kategória je priradená na základe expertných odhadov.</w:t>
      </w:r>
    </w:p>
  </w:footnote>
  <w:footnote w:id="4">
    <w:p w14:paraId="623EC7BB" w14:textId="77777777" w:rsidR="00771BF9" w:rsidRDefault="00771BF9" w:rsidP="002B705C">
      <w:pPr>
        <w:pStyle w:val="Textpoznmkypodiarou"/>
      </w:pPr>
      <w:r>
        <w:rPr>
          <w:rStyle w:val="Odkaznapoznmkupodiarou"/>
        </w:rPr>
        <w:footnoteRef/>
      </w:r>
      <w:r>
        <w:t xml:space="preserve"> Neexistujú oficiálne dáta mapujúce návštevnosť vztiahnutú k jednotlivým produktom CR, okrem návštevnosti v roklinách NP Slovenský raj. Kategória je priradená na základe expertných odhadov.</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65358"/>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0C4A86"/>
    <w:multiLevelType w:val="hybridMultilevel"/>
    <w:tmpl w:val="73A01D24"/>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81E1E41"/>
    <w:multiLevelType w:val="hybridMultilevel"/>
    <w:tmpl w:val="11AEB0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9F479BD"/>
    <w:multiLevelType w:val="hybridMultilevel"/>
    <w:tmpl w:val="13D89D9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AD30080"/>
    <w:multiLevelType w:val="hybridMultilevel"/>
    <w:tmpl w:val="4D50892E"/>
    <w:lvl w:ilvl="0" w:tplc="D38E7C34">
      <w:start w:val="1"/>
      <w:numFmt w:val="upperLetter"/>
      <w:lvlText w:val="%1)"/>
      <w:lvlJc w:val="left"/>
      <w:pPr>
        <w:ind w:left="720" w:hanging="360"/>
      </w:pPr>
      <w:rPr>
        <w:rFonts w:hint="default"/>
      </w:rPr>
    </w:lvl>
    <w:lvl w:ilvl="1" w:tplc="114E20CE">
      <w:start w:val="1"/>
      <w:numFmt w:val="decimal"/>
      <w:lvlText w:val="%2."/>
      <w:lvlJc w:val="left"/>
      <w:pPr>
        <w:ind w:left="1440" w:hanging="36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0E3B31F2"/>
    <w:multiLevelType w:val="hybridMultilevel"/>
    <w:tmpl w:val="9DCC2D6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14B0C12"/>
    <w:multiLevelType w:val="hybridMultilevel"/>
    <w:tmpl w:val="A144555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214C1F9C"/>
    <w:multiLevelType w:val="hybridMultilevel"/>
    <w:tmpl w:val="DC821B18"/>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8" w15:restartNumberingAfterBreak="0">
    <w:nsid w:val="22641F27"/>
    <w:multiLevelType w:val="hybridMultilevel"/>
    <w:tmpl w:val="C896BE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24B14E88"/>
    <w:multiLevelType w:val="hybridMultilevel"/>
    <w:tmpl w:val="22AEBDE8"/>
    <w:lvl w:ilvl="0" w:tplc="5A0E527E">
      <w:start w:val="1"/>
      <w:numFmt w:val="upp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0" w15:restartNumberingAfterBreak="0">
    <w:nsid w:val="282848C7"/>
    <w:multiLevelType w:val="hybridMultilevel"/>
    <w:tmpl w:val="91A4BC7A"/>
    <w:lvl w:ilvl="0" w:tplc="041B0001">
      <w:start w:val="1"/>
      <w:numFmt w:val="bullet"/>
      <w:lvlText w:val=""/>
      <w:lvlJc w:val="left"/>
      <w:pPr>
        <w:ind w:left="720" w:hanging="360"/>
      </w:pPr>
      <w:rPr>
        <w:rFonts w:ascii="Symbol" w:hAnsi="Symbol" w:hint="default"/>
      </w:rPr>
    </w:lvl>
    <w:lvl w:ilvl="1" w:tplc="041B0001">
      <w:start w:val="1"/>
      <w:numFmt w:val="bullet"/>
      <w:lvlText w:val=""/>
      <w:lvlJc w:val="left"/>
      <w:pPr>
        <w:ind w:left="1440" w:hanging="360"/>
      </w:pPr>
      <w:rPr>
        <w:rFonts w:ascii="Symbol" w:hAnsi="Symbo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F6E406F"/>
    <w:multiLevelType w:val="hybridMultilevel"/>
    <w:tmpl w:val="30A46594"/>
    <w:lvl w:ilvl="0" w:tplc="041B0001">
      <w:start w:val="1"/>
      <w:numFmt w:val="bullet"/>
      <w:lvlText w:val=""/>
      <w:lvlJc w:val="left"/>
      <w:pPr>
        <w:ind w:left="720" w:hanging="360"/>
      </w:pPr>
      <w:rPr>
        <w:rFonts w:ascii="Symbol" w:hAnsi="Symbol" w:hint="default"/>
      </w:rPr>
    </w:lvl>
    <w:lvl w:ilvl="1" w:tplc="56A468C2">
      <w:start w:val="9"/>
      <w:numFmt w:val="bullet"/>
      <w:lvlText w:val="•"/>
      <w:lvlJc w:val="left"/>
      <w:pPr>
        <w:ind w:left="1440" w:hanging="360"/>
      </w:pPr>
      <w:rPr>
        <w:rFonts w:ascii="Calibri" w:eastAsiaTheme="minorHAnsi" w:hAnsi="Calibri" w:cs="Calibri"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306C6240"/>
    <w:multiLevelType w:val="hybridMultilevel"/>
    <w:tmpl w:val="125A43C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346010A6"/>
    <w:multiLevelType w:val="hybridMultilevel"/>
    <w:tmpl w:val="A99670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39CD39C2"/>
    <w:multiLevelType w:val="hybridMultilevel"/>
    <w:tmpl w:val="081A4954"/>
    <w:lvl w:ilvl="0" w:tplc="041B0001">
      <w:start w:val="1"/>
      <w:numFmt w:val="bullet"/>
      <w:lvlText w:val=""/>
      <w:lvlJc w:val="left"/>
      <w:pPr>
        <w:ind w:left="1068" w:hanging="360"/>
      </w:pPr>
      <w:rPr>
        <w:rFonts w:ascii="Symbol" w:hAnsi="Symbol"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5" w15:restartNumberingAfterBreak="0">
    <w:nsid w:val="3A0E62D1"/>
    <w:multiLevelType w:val="hybridMultilevel"/>
    <w:tmpl w:val="57108A3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3BB42E66"/>
    <w:multiLevelType w:val="hybridMultilevel"/>
    <w:tmpl w:val="6E120820"/>
    <w:lvl w:ilvl="0" w:tplc="041B0001">
      <w:start w:val="1"/>
      <w:numFmt w:val="bullet"/>
      <w:lvlText w:val=""/>
      <w:lvlJc w:val="left"/>
      <w:pPr>
        <w:ind w:left="1440" w:hanging="360"/>
      </w:pPr>
      <w:rPr>
        <w:rFonts w:ascii="Symbol" w:hAnsi="Symbol" w:hint="default"/>
      </w:rPr>
    </w:lvl>
    <w:lvl w:ilvl="1" w:tplc="041B0003">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7" w15:restartNumberingAfterBreak="0">
    <w:nsid w:val="3BCC5025"/>
    <w:multiLevelType w:val="hybridMultilevel"/>
    <w:tmpl w:val="CB0E5E08"/>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8" w15:restartNumberingAfterBreak="0">
    <w:nsid w:val="44941B1A"/>
    <w:multiLevelType w:val="hybridMultilevel"/>
    <w:tmpl w:val="5546EC2A"/>
    <w:lvl w:ilvl="0" w:tplc="041B0003">
      <w:start w:val="1"/>
      <w:numFmt w:val="bullet"/>
      <w:lvlText w:val="o"/>
      <w:lvlJc w:val="left"/>
      <w:pPr>
        <w:ind w:left="2484" w:hanging="360"/>
      </w:pPr>
      <w:rPr>
        <w:rFonts w:ascii="Courier New" w:hAnsi="Courier New" w:cs="Courier New" w:hint="default"/>
      </w:rPr>
    </w:lvl>
    <w:lvl w:ilvl="1" w:tplc="041B0003">
      <w:start w:val="1"/>
      <w:numFmt w:val="bullet"/>
      <w:lvlText w:val="o"/>
      <w:lvlJc w:val="left"/>
      <w:pPr>
        <w:ind w:left="3204" w:hanging="360"/>
      </w:pPr>
      <w:rPr>
        <w:rFonts w:ascii="Courier New" w:hAnsi="Courier New" w:cs="Courier New" w:hint="default"/>
      </w:rPr>
    </w:lvl>
    <w:lvl w:ilvl="2" w:tplc="041B0005" w:tentative="1">
      <w:start w:val="1"/>
      <w:numFmt w:val="bullet"/>
      <w:lvlText w:val=""/>
      <w:lvlJc w:val="left"/>
      <w:pPr>
        <w:ind w:left="3924" w:hanging="360"/>
      </w:pPr>
      <w:rPr>
        <w:rFonts w:ascii="Wingdings" w:hAnsi="Wingdings" w:hint="default"/>
      </w:rPr>
    </w:lvl>
    <w:lvl w:ilvl="3" w:tplc="041B0001" w:tentative="1">
      <w:start w:val="1"/>
      <w:numFmt w:val="bullet"/>
      <w:lvlText w:val=""/>
      <w:lvlJc w:val="left"/>
      <w:pPr>
        <w:ind w:left="4644" w:hanging="360"/>
      </w:pPr>
      <w:rPr>
        <w:rFonts w:ascii="Symbol" w:hAnsi="Symbol" w:hint="default"/>
      </w:rPr>
    </w:lvl>
    <w:lvl w:ilvl="4" w:tplc="041B0003" w:tentative="1">
      <w:start w:val="1"/>
      <w:numFmt w:val="bullet"/>
      <w:lvlText w:val="o"/>
      <w:lvlJc w:val="left"/>
      <w:pPr>
        <w:ind w:left="5364" w:hanging="360"/>
      </w:pPr>
      <w:rPr>
        <w:rFonts w:ascii="Courier New" w:hAnsi="Courier New" w:cs="Courier New" w:hint="default"/>
      </w:rPr>
    </w:lvl>
    <w:lvl w:ilvl="5" w:tplc="041B0005" w:tentative="1">
      <w:start w:val="1"/>
      <w:numFmt w:val="bullet"/>
      <w:lvlText w:val=""/>
      <w:lvlJc w:val="left"/>
      <w:pPr>
        <w:ind w:left="6084" w:hanging="360"/>
      </w:pPr>
      <w:rPr>
        <w:rFonts w:ascii="Wingdings" w:hAnsi="Wingdings" w:hint="default"/>
      </w:rPr>
    </w:lvl>
    <w:lvl w:ilvl="6" w:tplc="041B0001" w:tentative="1">
      <w:start w:val="1"/>
      <w:numFmt w:val="bullet"/>
      <w:lvlText w:val=""/>
      <w:lvlJc w:val="left"/>
      <w:pPr>
        <w:ind w:left="6804" w:hanging="360"/>
      </w:pPr>
      <w:rPr>
        <w:rFonts w:ascii="Symbol" w:hAnsi="Symbol" w:hint="default"/>
      </w:rPr>
    </w:lvl>
    <w:lvl w:ilvl="7" w:tplc="041B0003" w:tentative="1">
      <w:start w:val="1"/>
      <w:numFmt w:val="bullet"/>
      <w:lvlText w:val="o"/>
      <w:lvlJc w:val="left"/>
      <w:pPr>
        <w:ind w:left="7524" w:hanging="360"/>
      </w:pPr>
      <w:rPr>
        <w:rFonts w:ascii="Courier New" w:hAnsi="Courier New" w:cs="Courier New" w:hint="default"/>
      </w:rPr>
    </w:lvl>
    <w:lvl w:ilvl="8" w:tplc="041B0005" w:tentative="1">
      <w:start w:val="1"/>
      <w:numFmt w:val="bullet"/>
      <w:lvlText w:val=""/>
      <w:lvlJc w:val="left"/>
      <w:pPr>
        <w:ind w:left="8244" w:hanging="360"/>
      </w:pPr>
      <w:rPr>
        <w:rFonts w:ascii="Wingdings" w:hAnsi="Wingdings" w:hint="default"/>
      </w:rPr>
    </w:lvl>
  </w:abstractNum>
  <w:abstractNum w:abstractNumId="19" w15:restartNumberingAfterBreak="0">
    <w:nsid w:val="46545081"/>
    <w:multiLevelType w:val="hybridMultilevel"/>
    <w:tmpl w:val="94AAA238"/>
    <w:lvl w:ilvl="0" w:tplc="041B000F">
      <w:start w:val="5"/>
      <w:numFmt w:val="decimal"/>
      <w:lvlText w:val="%1."/>
      <w:lvlJc w:val="left"/>
      <w:pPr>
        <w:ind w:left="720" w:hanging="360"/>
      </w:pPr>
      <w:rPr>
        <w:rFonts w:hint="default"/>
      </w:rPr>
    </w:lvl>
    <w:lvl w:ilvl="1" w:tplc="C23CEBC8">
      <w:numFmt w:val="bullet"/>
      <w:lvlText w:val=""/>
      <w:lvlJc w:val="left"/>
      <w:pPr>
        <w:ind w:left="1440" w:hanging="360"/>
      </w:pPr>
      <w:rPr>
        <w:rFonts w:ascii="Symbol" w:eastAsiaTheme="minorHAnsi" w:hAnsi="Symbol" w:cstheme="minorBidi"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484A7574"/>
    <w:multiLevelType w:val="hybridMultilevel"/>
    <w:tmpl w:val="9336E816"/>
    <w:lvl w:ilvl="0" w:tplc="415E106A">
      <w:start w:val="1"/>
      <w:numFmt w:val="upperLetter"/>
      <w:lvlText w:val="%1."/>
      <w:lvlJc w:val="left"/>
      <w:pPr>
        <w:ind w:left="720" w:hanging="360"/>
      </w:pPr>
      <w:rPr>
        <w:rFonts w:hint="default"/>
        <w:b/>
        <w:color w:val="auto"/>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1" w15:restartNumberingAfterBreak="0">
    <w:nsid w:val="495D49FC"/>
    <w:multiLevelType w:val="hybridMultilevel"/>
    <w:tmpl w:val="00BA21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4A8633D6"/>
    <w:multiLevelType w:val="hybridMultilevel"/>
    <w:tmpl w:val="C602D65E"/>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3" w15:restartNumberingAfterBreak="0">
    <w:nsid w:val="4B247BDE"/>
    <w:multiLevelType w:val="hybridMultilevel"/>
    <w:tmpl w:val="851875A6"/>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4" w15:restartNumberingAfterBreak="0">
    <w:nsid w:val="51033857"/>
    <w:multiLevelType w:val="hybridMultilevel"/>
    <w:tmpl w:val="523096CA"/>
    <w:lvl w:ilvl="0" w:tplc="041B0001">
      <w:start w:val="1"/>
      <w:numFmt w:val="bullet"/>
      <w:lvlText w:val=""/>
      <w:lvlJc w:val="left"/>
      <w:pPr>
        <w:ind w:left="2136" w:hanging="360"/>
      </w:pPr>
      <w:rPr>
        <w:rFonts w:ascii="Symbol" w:hAnsi="Symbol" w:hint="default"/>
      </w:rPr>
    </w:lvl>
    <w:lvl w:ilvl="1" w:tplc="041B0003" w:tentative="1">
      <w:start w:val="1"/>
      <w:numFmt w:val="bullet"/>
      <w:lvlText w:val="o"/>
      <w:lvlJc w:val="left"/>
      <w:pPr>
        <w:ind w:left="2856" w:hanging="360"/>
      </w:pPr>
      <w:rPr>
        <w:rFonts w:ascii="Courier New" w:hAnsi="Courier New" w:cs="Courier New" w:hint="default"/>
      </w:rPr>
    </w:lvl>
    <w:lvl w:ilvl="2" w:tplc="041B0005" w:tentative="1">
      <w:start w:val="1"/>
      <w:numFmt w:val="bullet"/>
      <w:lvlText w:val=""/>
      <w:lvlJc w:val="left"/>
      <w:pPr>
        <w:ind w:left="3576" w:hanging="360"/>
      </w:pPr>
      <w:rPr>
        <w:rFonts w:ascii="Wingdings" w:hAnsi="Wingdings" w:hint="default"/>
      </w:rPr>
    </w:lvl>
    <w:lvl w:ilvl="3" w:tplc="041B0001" w:tentative="1">
      <w:start w:val="1"/>
      <w:numFmt w:val="bullet"/>
      <w:lvlText w:val=""/>
      <w:lvlJc w:val="left"/>
      <w:pPr>
        <w:ind w:left="4296" w:hanging="360"/>
      </w:pPr>
      <w:rPr>
        <w:rFonts w:ascii="Symbol" w:hAnsi="Symbol" w:hint="default"/>
      </w:rPr>
    </w:lvl>
    <w:lvl w:ilvl="4" w:tplc="041B0003" w:tentative="1">
      <w:start w:val="1"/>
      <w:numFmt w:val="bullet"/>
      <w:lvlText w:val="o"/>
      <w:lvlJc w:val="left"/>
      <w:pPr>
        <w:ind w:left="5016" w:hanging="360"/>
      </w:pPr>
      <w:rPr>
        <w:rFonts w:ascii="Courier New" w:hAnsi="Courier New" w:cs="Courier New" w:hint="default"/>
      </w:rPr>
    </w:lvl>
    <w:lvl w:ilvl="5" w:tplc="041B0005" w:tentative="1">
      <w:start w:val="1"/>
      <w:numFmt w:val="bullet"/>
      <w:lvlText w:val=""/>
      <w:lvlJc w:val="left"/>
      <w:pPr>
        <w:ind w:left="5736" w:hanging="360"/>
      </w:pPr>
      <w:rPr>
        <w:rFonts w:ascii="Wingdings" w:hAnsi="Wingdings" w:hint="default"/>
      </w:rPr>
    </w:lvl>
    <w:lvl w:ilvl="6" w:tplc="041B0001" w:tentative="1">
      <w:start w:val="1"/>
      <w:numFmt w:val="bullet"/>
      <w:lvlText w:val=""/>
      <w:lvlJc w:val="left"/>
      <w:pPr>
        <w:ind w:left="6456" w:hanging="360"/>
      </w:pPr>
      <w:rPr>
        <w:rFonts w:ascii="Symbol" w:hAnsi="Symbol" w:hint="default"/>
      </w:rPr>
    </w:lvl>
    <w:lvl w:ilvl="7" w:tplc="041B0003" w:tentative="1">
      <w:start w:val="1"/>
      <w:numFmt w:val="bullet"/>
      <w:lvlText w:val="o"/>
      <w:lvlJc w:val="left"/>
      <w:pPr>
        <w:ind w:left="7176" w:hanging="360"/>
      </w:pPr>
      <w:rPr>
        <w:rFonts w:ascii="Courier New" w:hAnsi="Courier New" w:cs="Courier New" w:hint="default"/>
      </w:rPr>
    </w:lvl>
    <w:lvl w:ilvl="8" w:tplc="041B0005" w:tentative="1">
      <w:start w:val="1"/>
      <w:numFmt w:val="bullet"/>
      <w:lvlText w:val=""/>
      <w:lvlJc w:val="left"/>
      <w:pPr>
        <w:ind w:left="7896" w:hanging="360"/>
      </w:pPr>
      <w:rPr>
        <w:rFonts w:ascii="Wingdings" w:hAnsi="Wingdings" w:hint="default"/>
      </w:rPr>
    </w:lvl>
  </w:abstractNum>
  <w:abstractNum w:abstractNumId="25" w15:restartNumberingAfterBreak="0">
    <w:nsid w:val="513406A7"/>
    <w:multiLevelType w:val="hybridMultilevel"/>
    <w:tmpl w:val="D070D49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543A71DD"/>
    <w:multiLevelType w:val="multilevel"/>
    <w:tmpl w:val="0E820DE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56F1319F"/>
    <w:multiLevelType w:val="multilevel"/>
    <w:tmpl w:val="67DCBD82"/>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F952CD6"/>
    <w:multiLevelType w:val="hybridMultilevel"/>
    <w:tmpl w:val="A6A4703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71576462"/>
    <w:multiLevelType w:val="hybridMultilevel"/>
    <w:tmpl w:val="0CCEB4CA"/>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742860F7"/>
    <w:multiLevelType w:val="hybridMultilevel"/>
    <w:tmpl w:val="5F20C62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7C2A374C"/>
    <w:multiLevelType w:val="hybridMultilevel"/>
    <w:tmpl w:val="BEBCCA1C"/>
    <w:lvl w:ilvl="0" w:tplc="041B0001">
      <w:start w:val="1"/>
      <w:numFmt w:val="bullet"/>
      <w:lvlText w:val=""/>
      <w:lvlJc w:val="left"/>
      <w:pPr>
        <w:ind w:left="1440" w:hanging="360"/>
      </w:pPr>
      <w:rPr>
        <w:rFonts w:ascii="Symbol" w:hAnsi="Symbol" w:hint="default"/>
      </w:rPr>
    </w:lvl>
    <w:lvl w:ilvl="1" w:tplc="1FF8C2C6">
      <w:start w:val="9"/>
      <w:numFmt w:val="bullet"/>
      <w:lvlText w:val="•"/>
      <w:lvlJc w:val="left"/>
      <w:pPr>
        <w:ind w:left="2160" w:hanging="360"/>
      </w:pPr>
      <w:rPr>
        <w:rFonts w:ascii="Calibri" w:eastAsiaTheme="minorHAnsi" w:hAnsi="Calibri" w:cs="Calibri"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2" w15:restartNumberingAfterBreak="0">
    <w:nsid w:val="7C883DCC"/>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7"/>
  </w:num>
  <w:num w:numId="2">
    <w:abstractNumId w:val="2"/>
  </w:num>
  <w:num w:numId="3">
    <w:abstractNumId w:val="32"/>
  </w:num>
  <w:num w:numId="4">
    <w:abstractNumId w:val="20"/>
  </w:num>
  <w:num w:numId="5">
    <w:abstractNumId w:val="26"/>
  </w:num>
  <w:num w:numId="6">
    <w:abstractNumId w:val="19"/>
  </w:num>
  <w:num w:numId="7">
    <w:abstractNumId w:val="0"/>
  </w:num>
  <w:num w:numId="8">
    <w:abstractNumId w:val="9"/>
  </w:num>
  <w:num w:numId="9">
    <w:abstractNumId w:val="4"/>
  </w:num>
  <w:num w:numId="10">
    <w:abstractNumId w:val="22"/>
  </w:num>
  <w:num w:numId="11">
    <w:abstractNumId w:val="31"/>
  </w:num>
  <w:num w:numId="12">
    <w:abstractNumId w:val="6"/>
  </w:num>
  <w:num w:numId="13">
    <w:abstractNumId w:val="17"/>
  </w:num>
  <w:num w:numId="14">
    <w:abstractNumId w:val="7"/>
  </w:num>
  <w:num w:numId="15">
    <w:abstractNumId w:val="13"/>
  </w:num>
  <w:num w:numId="16">
    <w:abstractNumId w:val="5"/>
  </w:num>
  <w:num w:numId="17">
    <w:abstractNumId w:val="14"/>
  </w:num>
  <w:num w:numId="18">
    <w:abstractNumId w:val="24"/>
  </w:num>
  <w:num w:numId="19">
    <w:abstractNumId w:val="8"/>
  </w:num>
  <w:num w:numId="20">
    <w:abstractNumId w:val="21"/>
  </w:num>
  <w:num w:numId="21">
    <w:abstractNumId w:val="11"/>
  </w:num>
  <w:num w:numId="22">
    <w:abstractNumId w:val="12"/>
  </w:num>
  <w:num w:numId="23">
    <w:abstractNumId w:val="28"/>
  </w:num>
  <w:num w:numId="24">
    <w:abstractNumId w:val="3"/>
  </w:num>
  <w:num w:numId="25">
    <w:abstractNumId w:val="25"/>
  </w:num>
  <w:num w:numId="26">
    <w:abstractNumId w:val="16"/>
  </w:num>
  <w:num w:numId="27">
    <w:abstractNumId w:val="18"/>
  </w:num>
  <w:num w:numId="28">
    <w:abstractNumId w:val="1"/>
  </w:num>
  <w:num w:numId="29">
    <w:abstractNumId w:val="29"/>
  </w:num>
  <w:num w:numId="30">
    <w:abstractNumId w:val="15"/>
  </w:num>
  <w:num w:numId="31">
    <w:abstractNumId w:val="10"/>
  </w:num>
  <w:num w:numId="32">
    <w:abstractNumId w:val="30"/>
  </w:num>
  <w:num w:numId="33">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6F9"/>
    <w:rsid w:val="0000283B"/>
    <w:rsid w:val="000029BC"/>
    <w:rsid w:val="00005312"/>
    <w:rsid w:val="0000570A"/>
    <w:rsid w:val="000112E1"/>
    <w:rsid w:val="0001175F"/>
    <w:rsid w:val="00014F8A"/>
    <w:rsid w:val="00015962"/>
    <w:rsid w:val="000161DE"/>
    <w:rsid w:val="0001787F"/>
    <w:rsid w:val="000219AA"/>
    <w:rsid w:val="0002211A"/>
    <w:rsid w:val="000270C2"/>
    <w:rsid w:val="000272FE"/>
    <w:rsid w:val="00031B69"/>
    <w:rsid w:val="00040843"/>
    <w:rsid w:val="00042257"/>
    <w:rsid w:val="00043BE9"/>
    <w:rsid w:val="000442F6"/>
    <w:rsid w:val="00047566"/>
    <w:rsid w:val="00050825"/>
    <w:rsid w:val="00052749"/>
    <w:rsid w:val="00053609"/>
    <w:rsid w:val="00063483"/>
    <w:rsid w:val="00064454"/>
    <w:rsid w:val="00070057"/>
    <w:rsid w:val="00070F42"/>
    <w:rsid w:val="00071100"/>
    <w:rsid w:val="0007147D"/>
    <w:rsid w:val="00071824"/>
    <w:rsid w:val="0007204F"/>
    <w:rsid w:val="000734CA"/>
    <w:rsid w:val="00076161"/>
    <w:rsid w:val="000820D0"/>
    <w:rsid w:val="000844A1"/>
    <w:rsid w:val="00085E8A"/>
    <w:rsid w:val="000935A9"/>
    <w:rsid w:val="000962F1"/>
    <w:rsid w:val="00097A38"/>
    <w:rsid w:val="000A1607"/>
    <w:rsid w:val="000A403C"/>
    <w:rsid w:val="000A4386"/>
    <w:rsid w:val="000A44A0"/>
    <w:rsid w:val="000A5E63"/>
    <w:rsid w:val="000A65B0"/>
    <w:rsid w:val="000B4238"/>
    <w:rsid w:val="000C2E9B"/>
    <w:rsid w:val="000C45AE"/>
    <w:rsid w:val="000C7E9D"/>
    <w:rsid w:val="000D255D"/>
    <w:rsid w:val="000E2C40"/>
    <w:rsid w:val="000E2F70"/>
    <w:rsid w:val="000F0AD9"/>
    <w:rsid w:val="000F1A7D"/>
    <w:rsid w:val="000F1AC9"/>
    <w:rsid w:val="000F3B74"/>
    <w:rsid w:val="000F7184"/>
    <w:rsid w:val="00102575"/>
    <w:rsid w:val="0010527A"/>
    <w:rsid w:val="0011382E"/>
    <w:rsid w:val="001161B2"/>
    <w:rsid w:val="00121EE1"/>
    <w:rsid w:val="00121F29"/>
    <w:rsid w:val="0013054A"/>
    <w:rsid w:val="00134D64"/>
    <w:rsid w:val="00137620"/>
    <w:rsid w:val="001413F6"/>
    <w:rsid w:val="00142DCE"/>
    <w:rsid w:val="001501CC"/>
    <w:rsid w:val="0015246F"/>
    <w:rsid w:val="00164BDB"/>
    <w:rsid w:val="001704E2"/>
    <w:rsid w:val="00174585"/>
    <w:rsid w:val="001767DF"/>
    <w:rsid w:val="00180D0B"/>
    <w:rsid w:val="00182ADB"/>
    <w:rsid w:val="0019122D"/>
    <w:rsid w:val="001A1F5D"/>
    <w:rsid w:val="001A3414"/>
    <w:rsid w:val="001A45E0"/>
    <w:rsid w:val="001A49BC"/>
    <w:rsid w:val="001A6A35"/>
    <w:rsid w:val="001B0088"/>
    <w:rsid w:val="001B300C"/>
    <w:rsid w:val="001B4FD0"/>
    <w:rsid w:val="001C34D6"/>
    <w:rsid w:val="001C68C2"/>
    <w:rsid w:val="001C6906"/>
    <w:rsid w:val="001D11EF"/>
    <w:rsid w:val="001E134B"/>
    <w:rsid w:val="001E1647"/>
    <w:rsid w:val="001E24A4"/>
    <w:rsid w:val="001E489F"/>
    <w:rsid w:val="001E4E8B"/>
    <w:rsid w:val="001E7F18"/>
    <w:rsid w:val="001F0A00"/>
    <w:rsid w:val="001F0BFE"/>
    <w:rsid w:val="001F3C15"/>
    <w:rsid w:val="00200210"/>
    <w:rsid w:val="00200567"/>
    <w:rsid w:val="002015ED"/>
    <w:rsid w:val="002039FF"/>
    <w:rsid w:val="0021130D"/>
    <w:rsid w:val="0021145B"/>
    <w:rsid w:val="0021399C"/>
    <w:rsid w:val="00217123"/>
    <w:rsid w:val="0023163C"/>
    <w:rsid w:val="0023318C"/>
    <w:rsid w:val="00240B61"/>
    <w:rsid w:val="00242B1C"/>
    <w:rsid w:val="00246A60"/>
    <w:rsid w:val="00251326"/>
    <w:rsid w:val="0025180A"/>
    <w:rsid w:val="00253A13"/>
    <w:rsid w:val="00254D54"/>
    <w:rsid w:val="002670CE"/>
    <w:rsid w:val="0026745F"/>
    <w:rsid w:val="00271C91"/>
    <w:rsid w:val="00272724"/>
    <w:rsid w:val="00276849"/>
    <w:rsid w:val="00290D96"/>
    <w:rsid w:val="00290E7C"/>
    <w:rsid w:val="00295486"/>
    <w:rsid w:val="002A1F86"/>
    <w:rsid w:val="002A7302"/>
    <w:rsid w:val="002B1E31"/>
    <w:rsid w:val="002B4DA4"/>
    <w:rsid w:val="002B705C"/>
    <w:rsid w:val="002C35D0"/>
    <w:rsid w:val="002C4D0D"/>
    <w:rsid w:val="002C730D"/>
    <w:rsid w:val="002D1D92"/>
    <w:rsid w:val="002D5632"/>
    <w:rsid w:val="002E6BE1"/>
    <w:rsid w:val="002F1C5A"/>
    <w:rsid w:val="002F340D"/>
    <w:rsid w:val="00300194"/>
    <w:rsid w:val="00300F23"/>
    <w:rsid w:val="003023BE"/>
    <w:rsid w:val="00302638"/>
    <w:rsid w:val="00305062"/>
    <w:rsid w:val="003123FF"/>
    <w:rsid w:val="00312806"/>
    <w:rsid w:val="00316B92"/>
    <w:rsid w:val="003170A7"/>
    <w:rsid w:val="0032015F"/>
    <w:rsid w:val="003206B8"/>
    <w:rsid w:val="00321173"/>
    <w:rsid w:val="00325108"/>
    <w:rsid w:val="00332EE0"/>
    <w:rsid w:val="0034151B"/>
    <w:rsid w:val="00346D46"/>
    <w:rsid w:val="003522FE"/>
    <w:rsid w:val="00353251"/>
    <w:rsid w:val="0036120D"/>
    <w:rsid w:val="0036225B"/>
    <w:rsid w:val="003642B0"/>
    <w:rsid w:val="00364598"/>
    <w:rsid w:val="00376FC8"/>
    <w:rsid w:val="0038037D"/>
    <w:rsid w:val="0038174C"/>
    <w:rsid w:val="003817D6"/>
    <w:rsid w:val="00383983"/>
    <w:rsid w:val="00384A06"/>
    <w:rsid w:val="00384EF6"/>
    <w:rsid w:val="003A6010"/>
    <w:rsid w:val="003A608C"/>
    <w:rsid w:val="003A6C14"/>
    <w:rsid w:val="003A71B3"/>
    <w:rsid w:val="003B0FD1"/>
    <w:rsid w:val="003C1687"/>
    <w:rsid w:val="003C28A4"/>
    <w:rsid w:val="003C67F2"/>
    <w:rsid w:val="003D37BF"/>
    <w:rsid w:val="003D45B2"/>
    <w:rsid w:val="003D566A"/>
    <w:rsid w:val="003D6DB3"/>
    <w:rsid w:val="003E06A1"/>
    <w:rsid w:val="003E2EF3"/>
    <w:rsid w:val="003F4760"/>
    <w:rsid w:val="00407A42"/>
    <w:rsid w:val="00410EB6"/>
    <w:rsid w:val="00413589"/>
    <w:rsid w:val="0041418F"/>
    <w:rsid w:val="00430E99"/>
    <w:rsid w:val="0043689E"/>
    <w:rsid w:val="00446F6B"/>
    <w:rsid w:val="00453519"/>
    <w:rsid w:val="00455232"/>
    <w:rsid w:val="004555DC"/>
    <w:rsid w:val="00461FA4"/>
    <w:rsid w:val="00462DD9"/>
    <w:rsid w:val="0046342B"/>
    <w:rsid w:val="00470796"/>
    <w:rsid w:val="00471FFA"/>
    <w:rsid w:val="0047462B"/>
    <w:rsid w:val="004753C8"/>
    <w:rsid w:val="00480F2C"/>
    <w:rsid w:val="00483AA5"/>
    <w:rsid w:val="0048538B"/>
    <w:rsid w:val="00485D2C"/>
    <w:rsid w:val="004920E4"/>
    <w:rsid w:val="00496DE0"/>
    <w:rsid w:val="004971E1"/>
    <w:rsid w:val="004A0B9B"/>
    <w:rsid w:val="004A1E02"/>
    <w:rsid w:val="004A4B83"/>
    <w:rsid w:val="004B1AAA"/>
    <w:rsid w:val="004B2B9E"/>
    <w:rsid w:val="004D130B"/>
    <w:rsid w:val="004E0183"/>
    <w:rsid w:val="004E08D8"/>
    <w:rsid w:val="004E1C35"/>
    <w:rsid w:val="004E4092"/>
    <w:rsid w:val="004E569B"/>
    <w:rsid w:val="004E60D2"/>
    <w:rsid w:val="004F2D9E"/>
    <w:rsid w:val="004F3D54"/>
    <w:rsid w:val="004F743B"/>
    <w:rsid w:val="00503D83"/>
    <w:rsid w:val="0050480F"/>
    <w:rsid w:val="00510682"/>
    <w:rsid w:val="00510FC0"/>
    <w:rsid w:val="00511AE7"/>
    <w:rsid w:val="005150B5"/>
    <w:rsid w:val="00516561"/>
    <w:rsid w:val="00517B59"/>
    <w:rsid w:val="0052073F"/>
    <w:rsid w:val="00521816"/>
    <w:rsid w:val="005233CF"/>
    <w:rsid w:val="00525B4F"/>
    <w:rsid w:val="00533F1A"/>
    <w:rsid w:val="00534A58"/>
    <w:rsid w:val="005356D1"/>
    <w:rsid w:val="00536B05"/>
    <w:rsid w:val="00543761"/>
    <w:rsid w:val="00545EC4"/>
    <w:rsid w:val="00546DB2"/>
    <w:rsid w:val="005511B9"/>
    <w:rsid w:val="00552DAF"/>
    <w:rsid w:val="00553D2E"/>
    <w:rsid w:val="00556411"/>
    <w:rsid w:val="00556D85"/>
    <w:rsid w:val="00557187"/>
    <w:rsid w:val="00565F92"/>
    <w:rsid w:val="00570438"/>
    <w:rsid w:val="00572C60"/>
    <w:rsid w:val="00572F46"/>
    <w:rsid w:val="0057332F"/>
    <w:rsid w:val="005754A0"/>
    <w:rsid w:val="00576DF7"/>
    <w:rsid w:val="00577DCD"/>
    <w:rsid w:val="00582120"/>
    <w:rsid w:val="00584C89"/>
    <w:rsid w:val="00585BA8"/>
    <w:rsid w:val="005941E3"/>
    <w:rsid w:val="00594C45"/>
    <w:rsid w:val="005964AE"/>
    <w:rsid w:val="005A2055"/>
    <w:rsid w:val="005A4A0A"/>
    <w:rsid w:val="005B3701"/>
    <w:rsid w:val="005B66B3"/>
    <w:rsid w:val="005C1A6B"/>
    <w:rsid w:val="005C6488"/>
    <w:rsid w:val="005C7CB0"/>
    <w:rsid w:val="005D435A"/>
    <w:rsid w:val="005D46E5"/>
    <w:rsid w:val="005D5145"/>
    <w:rsid w:val="005D5ED7"/>
    <w:rsid w:val="005D72F9"/>
    <w:rsid w:val="005D7D55"/>
    <w:rsid w:val="005E12B6"/>
    <w:rsid w:val="005E2EFF"/>
    <w:rsid w:val="005F2890"/>
    <w:rsid w:val="005F3848"/>
    <w:rsid w:val="005F4CA2"/>
    <w:rsid w:val="005F5817"/>
    <w:rsid w:val="005F6D99"/>
    <w:rsid w:val="00601149"/>
    <w:rsid w:val="0060400E"/>
    <w:rsid w:val="00604730"/>
    <w:rsid w:val="0061033E"/>
    <w:rsid w:val="0061256A"/>
    <w:rsid w:val="00620CEC"/>
    <w:rsid w:val="006213D3"/>
    <w:rsid w:val="00626734"/>
    <w:rsid w:val="00627F58"/>
    <w:rsid w:val="00634AD4"/>
    <w:rsid w:val="00641665"/>
    <w:rsid w:val="00643262"/>
    <w:rsid w:val="00650A47"/>
    <w:rsid w:val="00653980"/>
    <w:rsid w:val="006700EB"/>
    <w:rsid w:val="006766D1"/>
    <w:rsid w:val="00681538"/>
    <w:rsid w:val="006821B6"/>
    <w:rsid w:val="00685AF7"/>
    <w:rsid w:val="00691C89"/>
    <w:rsid w:val="006A09EE"/>
    <w:rsid w:val="006A56F9"/>
    <w:rsid w:val="006A6459"/>
    <w:rsid w:val="006B50F0"/>
    <w:rsid w:val="006B5C79"/>
    <w:rsid w:val="006C0D10"/>
    <w:rsid w:val="006D043A"/>
    <w:rsid w:val="006D0FF0"/>
    <w:rsid w:val="006D4355"/>
    <w:rsid w:val="006D73C9"/>
    <w:rsid w:val="006E0EF3"/>
    <w:rsid w:val="006E2F26"/>
    <w:rsid w:val="006E2FB2"/>
    <w:rsid w:val="006E4820"/>
    <w:rsid w:val="006E70D4"/>
    <w:rsid w:val="006F1B6F"/>
    <w:rsid w:val="006F2963"/>
    <w:rsid w:val="006F4220"/>
    <w:rsid w:val="006F524D"/>
    <w:rsid w:val="006F78B8"/>
    <w:rsid w:val="00700801"/>
    <w:rsid w:val="00702788"/>
    <w:rsid w:val="00704CBD"/>
    <w:rsid w:val="00704D09"/>
    <w:rsid w:val="0070719F"/>
    <w:rsid w:val="007073BE"/>
    <w:rsid w:val="00710E0D"/>
    <w:rsid w:val="0071673A"/>
    <w:rsid w:val="007205FB"/>
    <w:rsid w:val="00720F07"/>
    <w:rsid w:val="00722B4E"/>
    <w:rsid w:val="0072608D"/>
    <w:rsid w:val="00731262"/>
    <w:rsid w:val="0073157E"/>
    <w:rsid w:val="00732284"/>
    <w:rsid w:val="0073442C"/>
    <w:rsid w:val="0073548A"/>
    <w:rsid w:val="0073657F"/>
    <w:rsid w:val="0074186E"/>
    <w:rsid w:val="00741E24"/>
    <w:rsid w:val="00743B1F"/>
    <w:rsid w:val="007543B3"/>
    <w:rsid w:val="00755CCE"/>
    <w:rsid w:val="00757828"/>
    <w:rsid w:val="007606F2"/>
    <w:rsid w:val="00760AF8"/>
    <w:rsid w:val="00760F30"/>
    <w:rsid w:val="00762C35"/>
    <w:rsid w:val="007649FD"/>
    <w:rsid w:val="007659EC"/>
    <w:rsid w:val="007668E2"/>
    <w:rsid w:val="00771BF9"/>
    <w:rsid w:val="007750BA"/>
    <w:rsid w:val="00776459"/>
    <w:rsid w:val="0078181B"/>
    <w:rsid w:val="0078274B"/>
    <w:rsid w:val="00784AB6"/>
    <w:rsid w:val="007867C7"/>
    <w:rsid w:val="00792171"/>
    <w:rsid w:val="007936A9"/>
    <w:rsid w:val="00794CEA"/>
    <w:rsid w:val="00795938"/>
    <w:rsid w:val="0079615D"/>
    <w:rsid w:val="007B07EE"/>
    <w:rsid w:val="007C0146"/>
    <w:rsid w:val="007C1B78"/>
    <w:rsid w:val="007D25D5"/>
    <w:rsid w:val="007D2B74"/>
    <w:rsid w:val="007E4C4E"/>
    <w:rsid w:val="007E6387"/>
    <w:rsid w:val="007F5157"/>
    <w:rsid w:val="00800C83"/>
    <w:rsid w:val="00801FE1"/>
    <w:rsid w:val="008036A0"/>
    <w:rsid w:val="00812ADD"/>
    <w:rsid w:val="008142BE"/>
    <w:rsid w:val="008228BB"/>
    <w:rsid w:val="00824CE7"/>
    <w:rsid w:val="00825DCF"/>
    <w:rsid w:val="008303E2"/>
    <w:rsid w:val="008334AF"/>
    <w:rsid w:val="008376AE"/>
    <w:rsid w:val="00837876"/>
    <w:rsid w:val="00841766"/>
    <w:rsid w:val="00841848"/>
    <w:rsid w:val="00843F42"/>
    <w:rsid w:val="0084541C"/>
    <w:rsid w:val="008470DB"/>
    <w:rsid w:val="00854F39"/>
    <w:rsid w:val="00864336"/>
    <w:rsid w:val="00871622"/>
    <w:rsid w:val="00872211"/>
    <w:rsid w:val="00875D7A"/>
    <w:rsid w:val="00877C13"/>
    <w:rsid w:val="00882715"/>
    <w:rsid w:val="00892B7E"/>
    <w:rsid w:val="008943A9"/>
    <w:rsid w:val="008A335E"/>
    <w:rsid w:val="008A79BB"/>
    <w:rsid w:val="008B2466"/>
    <w:rsid w:val="008B4549"/>
    <w:rsid w:val="008B514C"/>
    <w:rsid w:val="008C1867"/>
    <w:rsid w:val="008C3D1C"/>
    <w:rsid w:val="008C3D26"/>
    <w:rsid w:val="008C4EEA"/>
    <w:rsid w:val="008C543B"/>
    <w:rsid w:val="008D0006"/>
    <w:rsid w:val="008D61C8"/>
    <w:rsid w:val="008E4F40"/>
    <w:rsid w:val="008E7619"/>
    <w:rsid w:val="008E79AE"/>
    <w:rsid w:val="008F05FE"/>
    <w:rsid w:val="008F0E38"/>
    <w:rsid w:val="008F18D8"/>
    <w:rsid w:val="008F5D43"/>
    <w:rsid w:val="008F69D7"/>
    <w:rsid w:val="0090216D"/>
    <w:rsid w:val="00905895"/>
    <w:rsid w:val="00905A1E"/>
    <w:rsid w:val="0091067D"/>
    <w:rsid w:val="00912D3A"/>
    <w:rsid w:val="00913C34"/>
    <w:rsid w:val="009160CC"/>
    <w:rsid w:val="00917FC7"/>
    <w:rsid w:val="00927379"/>
    <w:rsid w:val="00927B1E"/>
    <w:rsid w:val="009304E3"/>
    <w:rsid w:val="00936364"/>
    <w:rsid w:val="00943BCC"/>
    <w:rsid w:val="009441E3"/>
    <w:rsid w:val="009503C2"/>
    <w:rsid w:val="00951365"/>
    <w:rsid w:val="00952399"/>
    <w:rsid w:val="00953A25"/>
    <w:rsid w:val="009558C9"/>
    <w:rsid w:val="00962054"/>
    <w:rsid w:val="00967BE7"/>
    <w:rsid w:val="009710DB"/>
    <w:rsid w:val="00973660"/>
    <w:rsid w:val="0098007E"/>
    <w:rsid w:val="009807D0"/>
    <w:rsid w:val="00983389"/>
    <w:rsid w:val="00987BA0"/>
    <w:rsid w:val="00992FD4"/>
    <w:rsid w:val="00993817"/>
    <w:rsid w:val="009B176E"/>
    <w:rsid w:val="009B2E6A"/>
    <w:rsid w:val="009B43E5"/>
    <w:rsid w:val="009B5E10"/>
    <w:rsid w:val="009B78D9"/>
    <w:rsid w:val="009C1ABF"/>
    <w:rsid w:val="009C1CED"/>
    <w:rsid w:val="009C396F"/>
    <w:rsid w:val="009C4865"/>
    <w:rsid w:val="009C564B"/>
    <w:rsid w:val="009C6E68"/>
    <w:rsid w:val="009D4420"/>
    <w:rsid w:val="009D6FE0"/>
    <w:rsid w:val="009D7450"/>
    <w:rsid w:val="009D7BC4"/>
    <w:rsid w:val="009F0083"/>
    <w:rsid w:val="009F2791"/>
    <w:rsid w:val="009F5279"/>
    <w:rsid w:val="009F6BA9"/>
    <w:rsid w:val="009F7F09"/>
    <w:rsid w:val="00A03BB7"/>
    <w:rsid w:val="00A07F8D"/>
    <w:rsid w:val="00A16C7A"/>
    <w:rsid w:val="00A2137E"/>
    <w:rsid w:val="00A2221A"/>
    <w:rsid w:val="00A23CC7"/>
    <w:rsid w:val="00A25E53"/>
    <w:rsid w:val="00A3616E"/>
    <w:rsid w:val="00A4052B"/>
    <w:rsid w:val="00A46726"/>
    <w:rsid w:val="00A5308A"/>
    <w:rsid w:val="00A60AD7"/>
    <w:rsid w:val="00A6122B"/>
    <w:rsid w:val="00A6232A"/>
    <w:rsid w:val="00A626A8"/>
    <w:rsid w:val="00A65B00"/>
    <w:rsid w:val="00A65B01"/>
    <w:rsid w:val="00A7136D"/>
    <w:rsid w:val="00A71CF2"/>
    <w:rsid w:val="00A74664"/>
    <w:rsid w:val="00A7601F"/>
    <w:rsid w:val="00A7778A"/>
    <w:rsid w:val="00A80967"/>
    <w:rsid w:val="00A85DF9"/>
    <w:rsid w:val="00A87D7F"/>
    <w:rsid w:val="00A92625"/>
    <w:rsid w:val="00A967C8"/>
    <w:rsid w:val="00AA26A1"/>
    <w:rsid w:val="00AA2A37"/>
    <w:rsid w:val="00AA43A2"/>
    <w:rsid w:val="00AB0222"/>
    <w:rsid w:val="00AB30CF"/>
    <w:rsid w:val="00AB4D74"/>
    <w:rsid w:val="00AC0948"/>
    <w:rsid w:val="00AC2F5B"/>
    <w:rsid w:val="00AC4FD1"/>
    <w:rsid w:val="00AC7A95"/>
    <w:rsid w:val="00AD320F"/>
    <w:rsid w:val="00AD4989"/>
    <w:rsid w:val="00AD770F"/>
    <w:rsid w:val="00AE0D58"/>
    <w:rsid w:val="00AE1978"/>
    <w:rsid w:val="00AE6CC4"/>
    <w:rsid w:val="00AF0EA2"/>
    <w:rsid w:val="00AF1367"/>
    <w:rsid w:val="00AF4DD9"/>
    <w:rsid w:val="00AF6E6D"/>
    <w:rsid w:val="00AF7EF5"/>
    <w:rsid w:val="00B0209E"/>
    <w:rsid w:val="00B07DDF"/>
    <w:rsid w:val="00B20B4D"/>
    <w:rsid w:val="00B22129"/>
    <w:rsid w:val="00B23EAB"/>
    <w:rsid w:val="00B23F25"/>
    <w:rsid w:val="00B2488E"/>
    <w:rsid w:val="00B265FB"/>
    <w:rsid w:val="00B27CBB"/>
    <w:rsid w:val="00B31742"/>
    <w:rsid w:val="00B35677"/>
    <w:rsid w:val="00B36194"/>
    <w:rsid w:val="00B37B8C"/>
    <w:rsid w:val="00B450BC"/>
    <w:rsid w:val="00B54E32"/>
    <w:rsid w:val="00B61D70"/>
    <w:rsid w:val="00B653F2"/>
    <w:rsid w:val="00B66248"/>
    <w:rsid w:val="00B6784E"/>
    <w:rsid w:val="00B729D9"/>
    <w:rsid w:val="00B74DB4"/>
    <w:rsid w:val="00B81706"/>
    <w:rsid w:val="00B83633"/>
    <w:rsid w:val="00B85779"/>
    <w:rsid w:val="00B8665A"/>
    <w:rsid w:val="00B879A3"/>
    <w:rsid w:val="00B90234"/>
    <w:rsid w:val="00B90C63"/>
    <w:rsid w:val="00B918D6"/>
    <w:rsid w:val="00B97488"/>
    <w:rsid w:val="00BA36E2"/>
    <w:rsid w:val="00BA4F20"/>
    <w:rsid w:val="00BA7A69"/>
    <w:rsid w:val="00BB030D"/>
    <w:rsid w:val="00BB0F9D"/>
    <w:rsid w:val="00BB2C7F"/>
    <w:rsid w:val="00BB4C0E"/>
    <w:rsid w:val="00BB7C48"/>
    <w:rsid w:val="00BC0910"/>
    <w:rsid w:val="00BC5B5C"/>
    <w:rsid w:val="00BC7827"/>
    <w:rsid w:val="00BD0179"/>
    <w:rsid w:val="00BD5E3D"/>
    <w:rsid w:val="00BD665F"/>
    <w:rsid w:val="00BD6BE0"/>
    <w:rsid w:val="00BE2D0C"/>
    <w:rsid w:val="00BE4E94"/>
    <w:rsid w:val="00BF09B5"/>
    <w:rsid w:val="00BF0F64"/>
    <w:rsid w:val="00C026FB"/>
    <w:rsid w:val="00C06933"/>
    <w:rsid w:val="00C122FC"/>
    <w:rsid w:val="00C13434"/>
    <w:rsid w:val="00C13E42"/>
    <w:rsid w:val="00C14167"/>
    <w:rsid w:val="00C15847"/>
    <w:rsid w:val="00C266CE"/>
    <w:rsid w:val="00C30F0B"/>
    <w:rsid w:val="00C37E1B"/>
    <w:rsid w:val="00C40005"/>
    <w:rsid w:val="00C41A23"/>
    <w:rsid w:val="00C4397D"/>
    <w:rsid w:val="00C47325"/>
    <w:rsid w:val="00C476DD"/>
    <w:rsid w:val="00C52CAF"/>
    <w:rsid w:val="00C63A90"/>
    <w:rsid w:val="00C7714F"/>
    <w:rsid w:val="00C81947"/>
    <w:rsid w:val="00C86F90"/>
    <w:rsid w:val="00C905A8"/>
    <w:rsid w:val="00C94E6D"/>
    <w:rsid w:val="00C97EAA"/>
    <w:rsid w:val="00CA2753"/>
    <w:rsid w:val="00CA2DE0"/>
    <w:rsid w:val="00CA5097"/>
    <w:rsid w:val="00CA52DA"/>
    <w:rsid w:val="00CA5B48"/>
    <w:rsid w:val="00CB2EEC"/>
    <w:rsid w:val="00CB6F7C"/>
    <w:rsid w:val="00CD18A8"/>
    <w:rsid w:val="00CD59FE"/>
    <w:rsid w:val="00CD6E21"/>
    <w:rsid w:val="00CE00A6"/>
    <w:rsid w:val="00CE2D47"/>
    <w:rsid w:val="00CE54E2"/>
    <w:rsid w:val="00CE7978"/>
    <w:rsid w:val="00CE7E44"/>
    <w:rsid w:val="00CF0B75"/>
    <w:rsid w:val="00CF1A59"/>
    <w:rsid w:val="00CF2E99"/>
    <w:rsid w:val="00CF3C74"/>
    <w:rsid w:val="00CF574B"/>
    <w:rsid w:val="00CF5E8B"/>
    <w:rsid w:val="00D0488D"/>
    <w:rsid w:val="00D228CA"/>
    <w:rsid w:val="00D23C5D"/>
    <w:rsid w:val="00D241E2"/>
    <w:rsid w:val="00D24DCD"/>
    <w:rsid w:val="00D263DB"/>
    <w:rsid w:val="00D2760F"/>
    <w:rsid w:val="00D339FC"/>
    <w:rsid w:val="00D35278"/>
    <w:rsid w:val="00D37790"/>
    <w:rsid w:val="00D3784B"/>
    <w:rsid w:val="00D403EF"/>
    <w:rsid w:val="00D464D1"/>
    <w:rsid w:val="00D47182"/>
    <w:rsid w:val="00D60178"/>
    <w:rsid w:val="00D67CCE"/>
    <w:rsid w:val="00D703AF"/>
    <w:rsid w:val="00D72108"/>
    <w:rsid w:val="00D74BFD"/>
    <w:rsid w:val="00D750AD"/>
    <w:rsid w:val="00D76FF3"/>
    <w:rsid w:val="00D776E8"/>
    <w:rsid w:val="00D852A6"/>
    <w:rsid w:val="00D85D54"/>
    <w:rsid w:val="00D85E8A"/>
    <w:rsid w:val="00D864FD"/>
    <w:rsid w:val="00D9228B"/>
    <w:rsid w:val="00D97C6B"/>
    <w:rsid w:val="00DA1335"/>
    <w:rsid w:val="00DA2CD9"/>
    <w:rsid w:val="00DA5CAA"/>
    <w:rsid w:val="00DA67D3"/>
    <w:rsid w:val="00DC0045"/>
    <w:rsid w:val="00DC61F3"/>
    <w:rsid w:val="00DD07F5"/>
    <w:rsid w:val="00DD0DB7"/>
    <w:rsid w:val="00DD3090"/>
    <w:rsid w:val="00DD477A"/>
    <w:rsid w:val="00DE0875"/>
    <w:rsid w:val="00DE42A2"/>
    <w:rsid w:val="00DF59D7"/>
    <w:rsid w:val="00DF64A7"/>
    <w:rsid w:val="00E06225"/>
    <w:rsid w:val="00E1139C"/>
    <w:rsid w:val="00E23A34"/>
    <w:rsid w:val="00E30AD0"/>
    <w:rsid w:val="00E30BB1"/>
    <w:rsid w:val="00E311A7"/>
    <w:rsid w:val="00E3239C"/>
    <w:rsid w:val="00E35906"/>
    <w:rsid w:val="00E375DA"/>
    <w:rsid w:val="00E42E7B"/>
    <w:rsid w:val="00E476BB"/>
    <w:rsid w:val="00E50054"/>
    <w:rsid w:val="00E54E07"/>
    <w:rsid w:val="00E60139"/>
    <w:rsid w:val="00E618C2"/>
    <w:rsid w:val="00E62675"/>
    <w:rsid w:val="00E67F84"/>
    <w:rsid w:val="00E7041A"/>
    <w:rsid w:val="00E7142C"/>
    <w:rsid w:val="00E72ED5"/>
    <w:rsid w:val="00E7432A"/>
    <w:rsid w:val="00E806C5"/>
    <w:rsid w:val="00E807AB"/>
    <w:rsid w:val="00E8109B"/>
    <w:rsid w:val="00E84A9A"/>
    <w:rsid w:val="00E874DF"/>
    <w:rsid w:val="00E912D8"/>
    <w:rsid w:val="00E91DCD"/>
    <w:rsid w:val="00E9338A"/>
    <w:rsid w:val="00E96659"/>
    <w:rsid w:val="00EA10FA"/>
    <w:rsid w:val="00EA1B9A"/>
    <w:rsid w:val="00EA4A35"/>
    <w:rsid w:val="00EA6EF0"/>
    <w:rsid w:val="00EA791C"/>
    <w:rsid w:val="00EB3EFD"/>
    <w:rsid w:val="00EC3B10"/>
    <w:rsid w:val="00EC42BF"/>
    <w:rsid w:val="00EC55B5"/>
    <w:rsid w:val="00EC661F"/>
    <w:rsid w:val="00EC66DF"/>
    <w:rsid w:val="00ED04AF"/>
    <w:rsid w:val="00ED27F9"/>
    <w:rsid w:val="00ED3EE6"/>
    <w:rsid w:val="00ED746B"/>
    <w:rsid w:val="00EE33DE"/>
    <w:rsid w:val="00EE4B63"/>
    <w:rsid w:val="00EF07E0"/>
    <w:rsid w:val="00EF5061"/>
    <w:rsid w:val="00F0024B"/>
    <w:rsid w:val="00F014AE"/>
    <w:rsid w:val="00F01EA1"/>
    <w:rsid w:val="00F0293C"/>
    <w:rsid w:val="00F10A67"/>
    <w:rsid w:val="00F11FDE"/>
    <w:rsid w:val="00F148C6"/>
    <w:rsid w:val="00F16010"/>
    <w:rsid w:val="00F206B8"/>
    <w:rsid w:val="00F21F4D"/>
    <w:rsid w:val="00F255FC"/>
    <w:rsid w:val="00F32798"/>
    <w:rsid w:val="00F36CDC"/>
    <w:rsid w:val="00F417E5"/>
    <w:rsid w:val="00F42CD2"/>
    <w:rsid w:val="00F44763"/>
    <w:rsid w:val="00F44FA1"/>
    <w:rsid w:val="00F45B76"/>
    <w:rsid w:val="00F46243"/>
    <w:rsid w:val="00F47D07"/>
    <w:rsid w:val="00F53DD7"/>
    <w:rsid w:val="00F54B6E"/>
    <w:rsid w:val="00F54F2E"/>
    <w:rsid w:val="00F54FDD"/>
    <w:rsid w:val="00F56206"/>
    <w:rsid w:val="00F56983"/>
    <w:rsid w:val="00F56CFA"/>
    <w:rsid w:val="00F608DA"/>
    <w:rsid w:val="00F6294C"/>
    <w:rsid w:val="00F63489"/>
    <w:rsid w:val="00F641FD"/>
    <w:rsid w:val="00F66592"/>
    <w:rsid w:val="00F66FC6"/>
    <w:rsid w:val="00F708CD"/>
    <w:rsid w:val="00F70B9A"/>
    <w:rsid w:val="00F71F83"/>
    <w:rsid w:val="00F73CA0"/>
    <w:rsid w:val="00F76985"/>
    <w:rsid w:val="00F81724"/>
    <w:rsid w:val="00F840BE"/>
    <w:rsid w:val="00F84ECA"/>
    <w:rsid w:val="00F95F7E"/>
    <w:rsid w:val="00FA4088"/>
    <w:rsid w:val="00FA6355"/>
    <w:rsid w:val="00FA6E83"/>
    <w:rsid w:val="00FB10E3"/>
    <w:rsid w:val="00FB1DF7"/>
    <w:rsid w:val="00FB1ED5"/>
    <w:rsid w:val="00FB430B"/>
    <w:rsid w:val="00FB546E"/>
    <w:rsid w:val="00FB6D17"/>
    <w:rsid w:val="00FC01E5"/>
    <w:rsid w:val="00FC0704"/>
    <w:rsid w:val="00FD1BB9"/>
    <w:rsid w:val="00FD3759"/>
    <w:rsid w:val="00FD4DFA"/>
    <w:rsid w:val="00FD5AFD"/>
    <w:rsid w:val="00FF2A25"/>
    <w:rsid w:val="00FF36C8"/>
    <w:rsid w:val="00FF5D87"/>
    <w:rsid w:val="00FF62A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A431238"/>
  <w15:chartTrackingRefBased/>
  <w15:docId w15:val="{21119D1F-491D-4D31-ACA1-41D6D11E6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style>
  <w:style w:type="paragraph" w:styleId="Nadpis1">
    <w:name w:val="heading 1"/>
    <w:basedOn w:val="Normlny"/>
    <w:next w:val="Normlny"/>
    <w:link w:val="Nadpis1Char"/>
    <w:uiPriority w:val="9"/>
    <w:qFormat/>
    <w:rsid w:val="008B514C"/>
    <w:pPr>
      <w:keepNext/>
      <w:keepLines/>
      <w:spacing w:before="240" w:after="0"/>
      <w:outlineLvl w:val="0"/>
    </w:pPr>
    <w:rPr>
      <w:rFonts w:asciiTheme="majorHAnsi" w:eastAsiaTheme="majorEastAsia" w:hAnsiTheme="majorHAnsi" w:cstheme="majorBidi"/>
      <w:b/>
      <w:color w:val="C45911" w:themeColor="accent2" w:themeShade="BF"/>
      <w:sz w:val="32"/>
      <w:szCs w:val="32"/>
    </w:rPr>
  </w:style>
  <w:style w:type="paragraph" w:styleId="Nadpis2">
    <w:name w:val="heading 2"/>
    <w:basedOn w:val="Normlny"/>
    <w:next w:val="Normlny"/>
    <w:link w:val="Nadpis2Char"/>
    <w:uiPriority w:val="9"/>
    <w:unhideWhenUsed/>
    <w:qFormat/>
    <w:rsid w:val="008B514C"/>
    <w:pPr>
      <w:keepNext/>
      <w:keepLines/>
      <w:spacing w:before="40" w:after="0"/>
      <w:outlineLvl w:val="1"/>
    </w:pPr>
    <w:rPr>
      <w:rFonts w:asciiTheme="majorHAnsi" w:eastAsiaTheme="majorEastAsia" w:hAnsiTheme="majorHAnsi" w:cstheme="majorBidi"/>
      <w:b/>
      <w:color w:val="C45911" w:themeColor="accent2" w:themeShade="BF"/>
      <w:sz w:val="26"/>
      <w:szCs w:val="26"/>
    </w:rPr>
  </w:style>
  <w:style w:type="paragraph" w:styleId="Nadpis3">
    <w:name w:val="heading 3"/>
    <w:basedOn w:val="Normlny"/>
    <w:next w:val="Normlny"/>
    <w:link w:val="Nadpis3Char"/>
    <w:uiPriority w:val="9"/>
    <w:unhideWhenUsed/>
    <w:qFormat/>
    <w:rsid w:val="008B514C"/>
    <w:pPr>
      <w:keepNext/>
      <w:keepLines/>
      <w:spacing w:before="40" w:after="0"/>
      <w:outlineLvl w:val="2"/>
    </w:pPr>
    <w:rPr>
      <w:rFonts w:asciiTheme="majorHAnsi" w:eastAsiaTheme="majorEastAsia" w:hAnsiTheme="majorHAnsi" w:cstheme="majorBidi"/>
      <w:color w:val="C45911" w:themeColor="accent2" w:themeShade="BF"/>
      <w:sz w:val="24"/>
      <w:szCs w:val="24"/>
    </w:rPr>
  </w:style>
  <w:style w:type="paragraph" w:styleId="Nadpis4">
    <w:name w:val="heading 4"/>
    <w:basedOn w:val="Normlny"/>
    <w:next w:val="Normlny"/>
    <w:link w:val="Nadpis4Char"/>
    <w:uiPriority w:val="9"/>
    <w:unhideWhenUsed/>
    <w:qFormat/>
    <w:rsid w:val="008B514C"/>
    <w:pPr>
      <w:keepNext/>
      <w:keepLines/>
      <w:spacing w:before="40" w:after="0"/>
      <w:outlineLvl w:val="3"/>
    </w:pPr>
    <w:rPr>
      <w:rFonts w:asciiTheme="majorHAnsi" w:eastAsiaTheme="majorEastAsia" w:hAnsiTheme="majorHAnsi" w:cstheme="majorBidi"/>
      <w:i/>
      <w:iCs/>
      <w:color w:val="C45911" w:themeColor="accent2" w:themeShade="BF"/>
    </w:rPr>
  </w:style>
  <w:style w:type="paragraph" w:styleId="Nadpis5">
    <w:name w:val="heading 5"/>
    <w:basedOn w:val="Normlny"/>
    <w:next w:val="Normlny"/>
    <w:link w:val="Nadpis5Char"/>
    <w:uiPriority w:val="9"/>
    <w:semiHidden/>
    <w:unhideWhenUsed/>
    <w:qFormat/>
    <w:rsid w:val="00F641FD"/>
    <w:pPr>
      <w:keepNext/>
      <w:keepLines/>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y"/>
    <w:next w:val="Normlny"/>
    <w:link w:val="Nadpis6Char"/>
    <w:uiPriority w:val="9"/>
    <w:semiHidden/>
    <w:unhideWhenUsed/>
    <w:qFormat/>
    <w:rsid w:val="00F641FD"/>
    <w:pPr>
      <w:keepNext/>
      <w:keepLines/>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y"/>
    <w:next w:val="Normlny"/>
    <w:link w:val="Nadpis7Char"/>
    <w:uiPriority w:val="9"/>
    <w:semiHidden/>
    <w:unhideWhenUsed/>
    <w:qFormat/>
    <w:rsid w:val="00F641FD"/>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y"/>
    <w:next w:val="Normlny"/>
    <w:link w:val="Nadpis8Char"/>
    <w:uiPriority w:val="9"/>
    <w:semiHidden/>
    <w:unhideWhenUsed/>
    <w:qFormat/>
    <w:rsid w:val="00F641F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
    <w:semiHidden/>
    <w:unhideWhenUsed/>
    <w:qFormat/>
    <w:rsid w:val="00F641F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8B514C"/>
    <w:rPr>
      <w:rFonts w:asciiTheme="majorHAnsi" w:eastAsiaTheme="majorEastAsia" w:hAnsiTheme="majorHAnsi" w:cstheme="majorBidi"/>
      <w:b/>
      <w:color w:val="C45911" w:themeColor="accent2" w:themeShade="BF"/>
      <w:sz w:val="32"/>
      <w:szCs w:val="32"/>
    </w:rPr>
  </w:style>
  <w:style w:type="paragraph" w:styleId="Odsekzoznamu">
    <w:name w:val="List Paragraph"/>
    <w:basedOn w:val="Normlny"/>
    <w:uiPriority w:val="99"/>
    <w:qFormat/>
    <w:rsid w:val="002039FF"/>
    <w:pPr>
      <w:ind w:left="720"/>
      <w:contextualSpacing/>
    </w:pPr>
  </w:style>
  <w:style w:type="character" w:customStyle="1" w:styleId="Nadpis2Char">
    <w:name w:val="Nadpis 2 Char"/>
    <w:basedOn w:val="Predvolenpsmoodseku"/>
    <w:link w:val="Nadpis2"/>
    <w:uiPriority w:val="9"/>
    <w:rsid w:val="008B514C"/>
    <w:rPr>
      <w:rFonts w:asciiTheme="majorHAnsi" w:eastAsiaTheme="majorEastAsia" w:hAnsiTheme="majorHAnsi" w:cstheme="majorBidi"/>
      <w:b/>
      <w:color w:val="C45911" w:themeColor="accent2" w:themeShade="BF"/>
      <w:sz w:val="26"/>
      <w:szCs w:val="26"/>
    </w:rPr>
  </w:style>
  <w:style w:type="character" w:customStyle="1" w:styleId="Nadpis3Char">
    <w:name w:val="Nadpis 3 Char"/>
    <w:basedOn w:val="Predvolenpsmoodseku"/>
    <w:link w:val="Nadpis3"/>
    <w:uiPriority w:val="9"/>
    <w:rsid w:val="008B514C"/>
    <w:rPr>
      <w:rFonts w:asciiTheme="majorHAnsi" w:eastAsiaTheme="majorEastAsia" w:hAnsiTheme="majorHAnsi" w:cstheme="majorBidi"/>
      <w:color w:val="C45911" w:themeColor="accent2" w:themeShade="BF"/>
      <w:sz w:val="24"/>
      <w:szCs w:val="24"/>
    </w:rPr>
  </w:style>
  <w:style w:type="character" w:customStyle="1" w:styleId="Nadpis4Char">
    <w:name w:val="Nadpis 4 Char"/>
    <w:basedOn w:val="Predvolenpsmoodseku"/>
    <w:link w:val="Nadpis4"/>
    <w:uiPriority w:val="9"/>
    <w:rsid w:val="008B514C"/>
    <w:rPr>
      <w:rFonts w:asciiTheme="majorHAnsi" w:eastAsiaTheme="majorEastAsia" w:hAnsiTheme="majorHAnsi" w:cstheme="majorBidi"/>
      <w:i/>
      <w:iCs/>
      <w:color w:val="C45911" w:themeColor="accent2" w:themeShade="BF"/>
    </w:rPr>
  </w:style>
  <w:style w:type="paragraph" w:customStyle="1" w:styleId="Normln">
    <w:name w:val="Normální"/>
    <w:basedOn w:val="Normlny"/>
    <w:next w:val="Normlny"/>
    <w:uiPriority w:val="99"/>
    <w:rsid w:val="00E23A34"/>
    <w:pPr>
      <w:autoSpaceDE w:val="0"/>
      <w:autoSpaceDN w:val="0"/>
      <w:adjustRightInd w:val="0"/>
      <w:spacing w:after="0" w:line="240" w:lineRule="auto"/>
    </w:pPr>
    <w:rPr>
      <w:rFonts w:ascii="MDDLIG+Arial" w:hAnsi="MDDLIG+Arial"/>
      <w:sz w:val="24"/>
      <w:szCs w:val="24"/>
    </w:rPr>
  </w:style>
  <w:style w:type="character" w:styleId="Hypertextovprepojenie">
    <w:name w:val="Hyperlink"/>
    <w:basedOn w:val="Predvolenpsmoodseku"/>
    <w:uiPriority w:val="99"/>
    <w:unhideWhenUsed/>
    <w:rsid w:val="00700801"/>
    <w:rPr>
      <w:color w:val="0000FF"/>
      <w:u w:val="single"/>
    </w:rPr>
  </w:style>
  <w:style w:type="paragraph" w:styleId="Textpoznmkypodiarou">
    <w:name w:val="footnote text"/>
    <w:basedOn w:val="Normlny"/>
    <w:link w:val="TextpoznmkypodiarouChar"/>
    <w:uiPriority w:val="99"/>
    <w:unhideWhenUsed/>
    <w:rsid w:val="00EA791C"/>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rsid w:val="00EA791C"/>
    <w:rPr>
      <w:sz w:val="20"/>
      <w:szCs w:val="20"/>
    </w:rPr>
  </w:style>
  <w:style w:type="paragraph" w:styleId="Popis">
    <w:name w:val="caption"/>
    <w:basedOn w:val="Normlny"/>
    <w:next w:val="Normlny"/>
    <w:uiPriority w:val="35"/>
    <w:unhideWhenUsed/>
    <w:qFormat/>
    <w:rsid w:val="008036A0"/>
    <w:pPr>
      <w:spacing w:after="200" w:line="240" w:lineRule="auto"/>
    </w:pPr>
    <w:rPr>
      <w:i/>
      <w:iCs/>
      <w:color w:val="44546A" w:themeColor="text2"/>
      <w:sz w:val="18"/>
      <w:szCs w:val="18"/>
    </w:rPr>
  </w:style>
  <w:style w:type="character" w:customStyle="1" w:styleId="Nevyrieenzmienka1">
    <w:name w:val="Nevyriešená zmienka1"/>
    <w:basedOn w:val="Predvolenpsmoodseku"/>
    <w:uiPriority w:val="99"/>
    <w:semiHidden/>
    <w:unhideWhenUsed/>
    <w:rsid w:val="0061256A"/>
    <w:rPr>
      <w:color w:val="808080"/>
      <w:shd w:val="clear" w:color="auto" w:fill="E6E6E6"/>
    </w:rPr>
  </w:style>
  <w:style w:type="paragraph" w:customStyle="1" w:styleId="NoSpacing1">
    <w:name w:val="No Spacing1"/>
    <w:uiPriority w:val="99"/>
    <w:rsid w:val="0050480F"/>
    <w:pPr>
      <w:spacing w:after="200" w:line="276" w:lineRule="auto"/>
    </w:pPr>
    <w:rPr>
      <w:rFonts w:ascii="Times New Roman" w:hAnsi="Times New Roman"/>
      <w:lang w:val="sr-Latn-CS" w:bidi="en-US"/>
    </w:rPr>
  </w:style>
  <w:style w:type="character" w:customStyle="1" w:styleId="Nadpis5Char">
    <w:name w:val="Nadpis 5 Char"/>
    <w:basedOn w:val="Predvolenpsmoodseku"/>
    <w:link w:val="Nadpis5"/>
    <w:uiPriority w:val="9"/>
    <w:semiHidden/>
    <w:rsid w:val="00F641FD"/>
    <w:rPr>
      <w:rFonts w:asciiTheme="majorHAnsi" w:eastAsiaTheme="majorEastAsia" w:hAnsiTheme="majorHAnsi" w:cstheme="majorBidi"/>
      <w:color w:val="2E74B5" w:themeColor="accent1" w:themeShade="BF"/>
    </w:rPr>
  </w:style>
  <w:style w:type="character" w:customStyle="1" w:styleId="Nadpis6Char">
    <w:name w:val="Nadpis 6 Char"/>
    <w:basedOn w:val="Predvolenpsmoodseku"/>
    <w:link w:val="Nadpis6"/>
    <w:uiPriority w:val="9"/>
    <w:semiHidden/>
    <w:rsid w:val="00F641FD"/>
    <w:rPr>
      <w:rFonts w:asciiTheme="majorHAnsi" w:eastAsiaTheme="majorEastAsia" w:hAnsiTheme="majorHAnsi" w:cstheme="majorBidi"/>
      <w:color w:val="1F4D78" w:themeColor="accent1" w:themeShade="7F"/>
    </w:rPr>
  </w:style>
  <w:style w:type="character" w:customStyle="1" w:styleId="Nadpis7Char">
    <w:name w:val="Nadpis 7 Char"/>
    <w:basedOn w:val="Predvolenpsmoodseku"/>
    <w:link w:val="Nadpis7"/>
    <w:uiPriority w:val="9"/>
    <w:semiHidden/>
    <w:rsid w:val="00F641FD"/>
    <w:rPr>
      <w:rFonts w:asciiTheme="majorHAnsi" w:eastAsiaTheme="majorEastAsia" w:hAnsiTheme="majorHAnsi" w:cstheme="majorBidi"/>
      <w:i/>
      <w:iCs/>
      <w:color w:val="1F4D78" w:themeColor="accent1" w:themeShade="7F"/>
    </w:rPr>
  </w:style>
  <w:style w:type="character" w:customStyle="1" w:styleId="Nadpis8Char">
    <w:name w:val="Nadpis 8 Char"/>
    <w:basedOn w:val="Predvolenpsmoodseku"/>
    <w:link w:val="Nadpis8"/>
    <w:uiPriority w:val="9"/>
    <w:semiHidden/>
    <w:rsid w:val="00F641F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Predvolenpsmoodseku"/>
    <w:link w:val="Nadpis9"/>
    <w:uiPriority w:val="9"/>
    <w:semiHidden/>
    <w:rsid w:val="00F641FD"/>
    <w:rPr>
      <w:rFonts w:asciiTheme="majorHAnsi" w:eastAsiaTheme="majorEastAsia" w:hAnsiTheme="majorHAnsi" w:cstheme="majorBidi"/>
      <w:i/>
      <w:iCs/>
      <w:color w:val="272727" w:themeColor="text1" w:themeTint="D8"/>
      <w:sz w:val="21"/>
      <w:szCs w:val="21"/>
    </w:rPr>
  </w:style>
  <w:style w:type="paragraph" w:styleId="Hlavikaobsahu">
    <w:name w:val="TOC Heading"/>
    <w:basedOn w:val="Nadpis1"/>
    <w:next w:val="Normlny"/>
    <w:uiPriority w:val="39"/>
    <w:unhideWhenUsed/>
    <w:qFormat/>
    <w:rsid w:val="009C564B"/>
    <w:pPr>
      <w:outlineLvl w:val="9"/>
    </w:pPr>
    <w:rPr>
      <w:b w:val="0"/>
      <w:lang w:eastAsia="sk-SK"/>
    </w:rPr>
  </w:style>
  <w:style w:type="paragraph" w:styleId="Obsah1">
    <w:name w:val="toc 1"/>
    <w:basedOn w:val="Normlny"/>
    <w:next w:val="Normlny"/>
    <w:autoRedefine/>
    <w:uiPriority w:val="39"/>
    <w:unhideWhenUsed/>
    <w:rsid w:val="00DA2CD9"/>
    <w:pPr>
      <w:spacing w:after="100"/>
    </w:pPr>
  </w:style>
  <w:style w:type="paragraph" w:styleId="Obsah2">
    <w:name w:val="toc 2"/>
    <w:basedOn w:val="Normlny"/>
    <w:next w:val="Normlny"/>
    <w:autoRedefine/>
    <w:uiPriority w:val="39"/>
    <w:unhideWhenUsed/>
    <w:rsid w:val="00DA2CD9"/>
    <w:pPr>
      <w:spacing w:after="100"/>
      <w:ind w:left="220"/>
    </w:pPr>
  </w:style>
  <w:style w:type="paragraph" w:styleId="Obsah3">
    <w:name w:val="toc 3"/>
    <w:basedOn w:val="Normlny"/>
    <w:next w:val="Normlny"/>
    <w:autoRedefine/>
    <w:uiPriority w:val="39"/>
    <w:unhideWhenUsed/>
    <w:rsid w:val="00DA2CD9"/>
    <w:pPr>
      <w:spacing w:after="100"/>
      <w:ind w:left="440"/>
    </w:pPr>
  </w:style>
  <w:style w:type="paragraph" w:customStyle="1" w:styleId="Default">
    <w:name w:val="Default"/>
    <w:rsid w:val="00626734"/>
    <w:pPr>
      <w:autoSpaceDE w:val="0"/>
      <w:autoSpaceDN w:val="0"/>
      <w:adjustRightInd w:val="0"/>
      <w:spacing w:after="0" w:line="240" w:lineRule="auto"/>
    </w:pPr>
    <w:rPr>
      <w:rFonts w:ascii="Calibri" w:hAnsi="Calibri" w:cs="Calibri"/>
      <w:color w:val="000000"/>
      <w:sz w:val="24"/>
      <w:szCs w:val="24"/>
    </w:rPr>
  </w:style>
  <w:style w:type="character" w:customStyle="1" w:styleId="Nevyrieenzmienka2">
    <w:name w:val="Nevyriešená zmienka2"/>
    <w:basedOn w:val="Predvolenpsmoodseku"/>
    <w:uiPriority w:val="99"/>
    <w:semiHidden/>
    <w:unhideWhenUsed/>
    <w:rsid w:val="00B265FB"/>
    <w:rPr>
      <w:color w:val="808080"/>
      <w:shd w:val="clear" w:color="auto" w:fill="E6E6E6"/>
    </w:rPr>
  </w:style>
  <w:style w:type="character" w:styleId="Zvraznenie">
    <w:name w:val="Emphasis"/>
    <w:basedOn w:val="Predvolenpsmoodseku"/>
    <w:uiPriority w:val="20"/>
    <w:qFormat/>
    <w:rsid w:val="0060400E"/>
    <w:rPr>
      <w:i/>
      <w:iCs/>
    </w:rPr>
  </w:style>
  <w:style w:type="paragraph" w:customStyle="1" w:styleId="je1">
    <w:name w:val="je1"/>
    <w:link w:val="je1Char"/>
    <w:rsid w:val="00A5308A"/>
    <w:pPr>
      <w:spacing w:line="240" w:lineRule="auto"/>
      <w:ind w:left="709"/>
      <w:jc w:val="both"/>
    </w:pPr>
    <w:rPr>
      <w:rFonts w:ascii="Calibri" w:eastAsia="Times New Roman" w:hAnsi="Calibri" w:cs="Arial"/>
    </w:rPr>
  </w:style>
  <w:style w:type="character" w:customStyle="1" w:styleId="je1Char">
    <w:name w:val="je1 Char"/>
    <w:link w:val="je1"/>
    <w:rsid w:val="00A5308A"/>
    <w:rPr>
      <w:rFonts w:ascii="Calibri" w:eastAsia="Times New Roman" w:hAnsi="Calibri" w:cs="Arial"/>
    </w:rPr>
  </w:style>
  <w:style w:type="character" w:styleId="Vrazn">
    <w:name w:val="Strong"/>
    <w:basedOn w:val="Predvolenpsmoodseku"/>
    <w:uiPriority w:val="22"/>
    <w:qFormat/>
    <w:rsid w:val="00EC66DF"/>
    <w:rPr>
      <w:b/>
      <w:bCs/>
    </w:rPr>
  </w:style>
  <w:style w:type="character" w:styleId="Odkaznapoznmkupodiarou">
    <w:name w:val="footnote reference"/>
    <w:basedOn w:val="Predvolenpsmoodseku"/>
    <w:uiPriority w:val="99"/>
    <w:semiHidden/>
    <w:unhideWhenUsed/>
    <w:rsid w:val="00B83633"/>
    <w:rPr>
      <w:vertAlign w:val="superscript"/>
    </w:rPr>
  </w:style>
  <w:style w:type="character" w:styleId="PouitHypertextovPrepojenie">
    <w:name w:val="FollowedHyperlink"/>
    <w:basedOn w:val="Predvolenpsmoodseku"/>
    <w:uiPriority w:val="99"/>
    <w:semiHidden/>
    <w:unhideWhenUsed/>
    <w:rsid w:val="000270C2"/>
    <w:rPr>
      <w:color w:val="954F72" w:themeColor="followedHyperlink"/>
      <w:u w:val="single"/>
    </w:rPr>
  </w:style>
  <w:style w:type="character" w:styleId="Nevyrieenzmienka">
    <w:name w:val="Unresolved Mention"/>
    <w:basedOn w:val="Predvolenpsmoodseku"/>
    <w:uiPriority w:val="99"/>
    <w:semiHidden/>
    <w:unhideWhenUsed/>
    <w:rsid w:val="000A160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886929">
      <w:bodyDiv w:val="1"/>
      <w:marLeft w:val="0"/>
      <w:marRight w:val="0"/>
      <w:marTop w:val="0"/>
      <w:marBottom w:val="0"/>
      <w:divBdr>
        <w:top w:val="none" w:sz="0" w:space="0" w:color="auto"/>
        <w:left w:val="none" w:sz="0" w:space="0" w:color="auto"/>
        <w:bottom w:val="none" w:sz="0" w:space="0" w:color="auto"/>
        <w:right w:val="none" w:sz="0" w:space="0" w:color="auto"/>
      </w:divBdr>
    </w:div>
    <w:div w:id="219365482">
      <w:bodyDiv w:val="1"/>
      <w:marLeft w:val="0"/>
      <w:marRight w:val="0"/>
      <w:marTop w:val="0"/>
      <w:marBottom w:val="0"/>
      <w:divBdr>
        <w:top w:val="none" w:sz="0" w:space="0" w:color="auto"/>
        <w:left w:val="none" w:sz="0" w:space="0" w:color="auto"/>
        <w:bottom w:val="none" w:sz="0" w:space="0" w:color="auto"/>
        <w:right w:val="none" w:sz="0" w:space="0" w:color="auto"/>
      </w:divBdr>
    </w:div>
    <w:div w:id="305018052">
      <w:bodyDiv w:val="1"/>
      <w:marLeft w:val="0"/>
      <w:marRight w:val="0"/>
      <w:marTop w:val="0"/>
      <w:marBottom w:val="0"/>
      <w:divBdr>
        <w:top w:val="none" w:sz="0" w:space="0" w:color="auto"/>
        <w:left w:val="none" w:sz="0" w:space="0" w:color="auto"/>
        <w:bottom w:val="none" w:sz="0" w:space="0" w:color="auto"/>
        <w:right w:val="none" w:sz="0" w:space="0" w:color="auto"/>
      </w:divBdr>
    </w:div>
    <w:div w:id="310644572">
      <w:bodyDiv w:val="1"/>
      <w:marLeft w:val="0"/>
      <w:marRight w:val="0"/>
      <w:marTop w:val="0"/>
      <w:marBottom w:val="0"/>
      <w:divBdr>
        <w:top w:val="none" w:sz="0" w:space="0" w:color="auto"/>
        <w:left w:val="none" w:sz="0" w:space="0" w:color="auto"/>
        <w:bottom w:val="none" w:sz="0" w:space="0" w:color="auto"/>
        <w:right w:val="none" w:sz="0" w:space="0" w:color="auto"/>
      </w:divBdr>
    </w:div>
    <w:div w:id="486283046">
      <w:bodyDiv w:val="1"/>
      <w:marLeft w:val="0"/>
      <w:marRight w:val="0"/>
      <w:marTop w:val="0"/>
      <w:marBottom w:val="0"/>
      <w:divBdr>
        <w:top w:val="none" w:sz="0" w:space="0" w:color="auto"/>
        <w:left w:val="none" w:sz="0" w:space="0" w:color="auto"/>
        <w:bottom w:val="none" w:sz="0" w:space="0" w:color="auto"/>
        <w:right w:val="none" w:sz="0" w:space="0" w:color="auto"/>
      </w:divBdr>
    </w:div>
    <w:div w:id="556860228">
      <w:bodyDiv w:val="1"/>
      <w:marLeft w:val="0"/>
      <w:marRight w:val="0"/>
      <w:marTop w:val="0"/>
      <w:marBottom w:val="0"/>
      <w:divBdr>
        <w:top w:val="none" w:sz="0" w:space="0" w:color="auto"/>
        <w:left w:val="none" w:sz="0" w:space="0" w:color="auto"/>
        <w:bottom w:val="none" w:sz="0" w:space="0" w:color="auto"/>
        <w:right w:val="none" w:sz="0" w:space="0" w:color="auto"/>
      </w:divBdr>
    </w:div>
    <w:div w:id="687411692">
      <w:bodyDiv w:val="1"/>
      <w:marLeft w:val="0"/>
      <w:marRight w:val="0"/>
      <w:marTop w:val="0"/>
      <w:marBottom w:val="0"/>
      <w:divBdr>
        <w:top w:val="none" w:sz="0" w:space="0" w:color="auto"/>
        <w:left w:val="none" w:sz="0" w:space="0" w:color="auto"/>
        <w:bottom w:val="none" w:sz="0" w:space="0" w:color="auto"/>
        <w:right w:val="none" w:sz="0" w:space="0" w:color="auto"/>
      </w:divBdr>
    </w:div>
    <w:div w:id="709499284">
      <w:bodyDiv w:val="1"/>
      <w:marLeft w:val="0"/>
      <w:marRight w:val="0"/>
      <w:marTop w:val="0"/>
      <w:marBottom w:val="0"/>
      <w:divBdr>
        <w:top w:val="none" w:sz="0" w:space="0" w:color="auto"/>
        <w:left w:val="none" w:sz="0" w:space="0" w:color="auto"/>
        <w:bottom w:val="none" w:sz="0" w:space="0" w:color="auto"/>
        <w:right w:val="none" w:sz="0" w:space="0" w:color="auto"/>
      </w:divBdr>
    </w:div>
    <w:div w:id="754667005">
      <w:bodyDiv w:val="1"/>
      <w:marLeft w:val="0"/>
      <w:marRight w:val="0"/>
      <w:marTop w:val="0"/>
      <w:marBottom w:val="0"/>
      <w:divBdr>
        <w:top w:val="none" w:sz="0" w:space="0" w:color="auto"/>
        <w:left w:val="none" w:sz="0" w:space="0" w:color="auto"/>
        <w:bottom w:val="none" w:sz="0" w:space="0" w:color="auto"/>
        <w:right w:val="none" w:sz="0" w:space="0" w:color="auto"/>
      </w:divBdr>
    </w:div>
    <w:div w:id="769473624">
      <w:bodyDiv w:val="1"/>
      <w:marLeft w:val="0"/>
      <w:marRight w:val="0"/>
      <w:marTop w:val="0"/>
      <w:marBottom w:val="0"/>
      <w:divBdr>
        <w:top w:val="none" w:sz="0" w:space="0" w:color="auto"/>
        <w:left w:val="none" w:sz="0" w:space="0" w:color="auto"/>
        <w:bottom w:val="none" w:sz="0" w:space="0" w:color="auto"/>
        <w:right w:val="none" w:sz="0" w:space="0" w:color="auto"/>
      </w:divBdr>
    </w:div>
    <w:div w:id="789399173">
      <w:bodyDiv w:val="1"/>
      <w:marLeft w:val="0"/>
      <w:marRight w:val="0"/>
      <w:marTop w:val="0"/>
      <w:marBottom w:val="0"/>
      <w:divBdr>
        <w:top w:val="none" w:sz="0" w:space="0" w:color="auto"/>
        <w:left w:val="none" w:sz="0" w:space="0" w:color="auto"/>
        <w:bottom w:val="none" w:sz="0" w:space="0" w:color="auto"/>
        <w:right w:val="none" w:sz="0" w:space="0" w:color="auto"/>
      </w:divBdr>
    </w:div>
    <w:div w:id="798760516">
      <w:bodyDiv w:val="1"/>
      <w:marLeft w:val="0"/>
      <w:marRight w:val="0"/>
      <w:marTop w:val="0"/>
      <w:marBottom w:val="0"/>
      <w:divBdr>
        <w:top w:val="none" w:sz="0" w:space="0" w:color="auto"/>
        <w:left w:val="none" w:sz="0" w:space="0" w:color="auto"/>
        <w:bottom w:val="none" w:sz="0" w:space="0" w:color="auto"/>
        <w:right w:val="none" w:sz="0" w:space="0" w:color="auto"/>
      </w:divBdr>
    </w:div>
    <w:div w:id="867717624">
      <w:bodyDiv w:val="1"/>
      <w:marLeft w:val="0"/>
      <w:marRight w:val="0"/>
      <w:marTop w:val="0"/>
      <w:marBottom w:val="0"/>
      <w:divBdr>
        <w:top w:val="none" w:sz="0" w:space="0" w:color="auto"/>
        <w:left w:val="none" w:sz="0" w:space="0" w:color="auto"/>
        <w:bottom w:val="none" w:sz="0" w:space="0" w:color="auto"/>
        <w:right w:val="none" w:sz="0" w:space="0" w:color="auto"/>
      </w:divBdr>
    </w:div>
    <w:div w:id="1009941349">
      <w:bodyDiv w:val="1"/>
      <w:marLeft w:val="0"/>
      <w:marRight w:val="0"/>
      <w:marTop w:val="0"/>
      <w:marBottom w:val="0"/>
      <w:divBdr>
        <w:top w:val="none" w:sz="0" w:space="0" w:color="auto"/>
        <w:left w:val="none" w:sz="0" w:space="0" w:color="auto"/>
        <w:bottom w:val="none" w:sz="0" w:space="0" w:color="auto"/>
        <w:right w:val="none" w:sz="0" w:space="0" w:color="auto"/>
      </w:divBdr>
    </w:div>
    <w:div w:id="1044332434">
      <w:bodyDiv w:val="1"/>
      <w:marLeft w:val="0"/>
      <w:marRight w:val="0"/>
      <w:marTop w:val="0"/>
      <w:marBottom w:val="0"/>
      <w:divBdr>
        <w:top w:val="none" w:sz="0" w:space="0" w:color="auto"/>
        <w:left w:val="none" w:sz="0" w:space="0" w:color="auto"/>
        <w:bottom w:val="none" w:sz="0" w:space="0" w:color="auto"/>
        <w:right w:val="none" w:sz="0" w:space="0" w:color="auto"/>
      </w:divBdr>
    </w:div>
    <w:div w:id="1152065064">
      <w:bodyDiv w:val="1"/>
      <w:marLeft w:val="0"/>
      <w:marRight w:val="0"/>
      <w:marTop w:val="0"/>
      <w:marBottom w:val="0"/>
      <w:divBdr>
        <w:top w:val="none" w:sz="0" w:space="0" w:color="auto"/>
        <w:left w:val="none" w:sz="0" w:space="0" w:color="auto"/>
        <w:bottom w:val="none" w:sz="0" w:space="0" w:color="auto"/>
        <w:right w:val="none" w:sz="0" w:space="0" w:color="auto"/>
      </w:divBdr>
    </w:div>
    <w:div w:id="1187869209">
      <w:bodyDiv w:val="1"/>
      <w:marLeft w:val="0"/>
      <w:marRight w:val="0"/>
      <w:marTop w:val="0"/>
      <w:marBottom w:val="0"/>
      <w:divBdr>
        <w:top w:val="none" w:sz="0" w:space="0" w:color="auto"/>
        <w:left w:val="none" w:sz="0" w:space="0" w:color="auto"/>
        <w:bottom w:val="none" w:sz="0" w:space="0" w:color="auto"/>
        <w:right w:val="none" w:sz="0" w:space="0" w:color="auto"/>
      </w:divBdr>
    </w:div>
    <w:div w:id="1445687193">
      <w:bodyDiv w:val="1"/>
      <w:marLeft w:val="0"/>
      <w:marRight w:val="0"/>
      <w:marTop w:val="0"/>
      <w:marBottom w:val="0"/>
      <w:divBdr>
        <w:top w:val="none" w:sz="0" w:space="0" w:color="auto"/>
        <w:left w:val="none" w:sz="0" w:space="0" w:color="auto"/>
        <w:bottom w:val="none" w:sz="0" w:space="0" w:color="auto"/>
        <w:right w:val="none" w:sz="0" w:space="0" w:color="auto"/>
      </w:divBdr>
    </w:div>
    <w:div w:id="1497769640">
      <w:bodyDiv w:val="1"/>
      <w:marLeft w:val="0"/>
      <w:marRight w:val="0"/>
      <w:marTop w:val="0"/>
      <w:marBottom w:val="0"/>
      <w:divBdr>
        <w:top w:val="none" w:sz="0" w:space="0" w:color="auto"/>
        <w:left w:val="none" w:sz="0" w:space="0" w:color="auto"/>
        <w:bottom w:val="none" w:sz="0" w:space="0" w:color="auto"/>
        <w:right w:val="none" w:sz="0" w:space="0" w:color="auto"/>
      </w:divBdr>
    </w:div>
    <w:div w:id="1679653711">
      <w:bodyDiv w:val="1"/>
      <w:marLeft w:val="0"/>
      <w:marRight w:val="0"/>
      <w:marTop w:val="0"/>
      <w:marBottom w:val="0"/>
      <w:divBdr>
        <w:top w:val="none" w:sz="0" w:space="0" w:color="auto"/>
        <w:left w:val="none" w:sz="0" w:space="0" w:color="auto"/>
        <w:bottom w:val="none" w:sz="0" w:space="0" w:color="auto"/>
        <w:right w:val="none" w:sz="0" w:space="0" w:color="auto"/>
      </w:divBdr>
    </w:div>
    <w:div w:id="1735347320">
      <w:bodyDiv w:val="1"/>
      <w:marLeft w:val="0"/>
      <w:marRight w:val="0"/>
      <w:marTop w:val="0"/>
      <w:marBottom w:val="0"/>
      <w:divBdr>
        <w:top w:val="none" w:sz="0" w:space="0" w:color="auto"/>
        <w:left w:val="none" w:sz="0" w:space="0" w:color="auto"/>
        <w:bottom w:val="none" w:sz="0" w:space="0" w:color="auto"/>
        <w:right w:val="none" w:sz="0" w:space="0" w:color="auto"/>
      </w:divBdr>
    </w:div>
    <w:div w:id="1794131025">
      <w:bodyDiv w:val="1"/>
      <w:marLeft w:val="0"/>
      <w:marRight w:val="0"/>
      <w:marTop w:val="0"/>
      <w:marBottom w:val="0"/>
      <w:divBdr>
        <w:top w:val="none" w:sz="0" w:space="0" w:color="auto"/>
        <w:left w:val="none" w:sz="0" w:space="0" w:color="auto"/>
        <w:bottom w:val="none" w:sz="0" w:space="0" w:color="auto"/>
        <w:right w:val="none" w:sz="0" w:space="0" w:color="auto"/>
      </w:divBdr>
    </w:div>
    <w:div w:id="1820075185">
      <w:bodyDiv w:val="1"/>
      <w:marLeft w:val="0"/>
      <w:marRight w:val="0"/>
      <w:marTop w:val="0"/>
      <w:marBottom w:val="0"/>
      <w:divBdr>
        <w:top w:val="none" w:sz="0" w:space="0" w:color="auto"/>
        <w:left w:val="none" w:sz="0" w:space="0" w:color="auto"/>
        <w:bottom w:val="none" w:sz="0" w:space="0" w:color="auto"/>
        <w:right w:val="none" w:sz="0" w:space="0" w:color="auto"/>
      </w:divBdr>
    </w:div>
    <w:div w:id="1837500122">
      <w:bodyDiv w:val="1"/>
      <w:marLeft w:val="0"/>
      <w:marRight w:val="0"/>
      <w:marTop w:val="0"/>
      <w:marBottom w:val="0"/>
      <w:divBdr>
        <w:top w:val="none" w:sz="0" w:space="0" w:color="auto"/>
        <w:left w:val="none" w:sz="0" w:space="0" w:color="auto"/>
        <w:bottom w:val="none" w:sz="0" w:space="0" w:color="auto"/>
        <w:right w:val="none" w:sz="0" w:space="0" w:color="auto"/>
      </w:divBdr>
    </w:div>
    <w:div w:id="1851287617">
      <w:bodyDiv w:val="1"/>
      <w:marLeft w:val="0"/>
      <w:marRight w:val="0"/>
      <w:marTop w:val="0"/>
      <w:marBottom w:val="0"/>
      <w:divBdr>
        <w:top w:val="none" w:sz="0" w:space="0" w:color="auto"/>
        <w:left w:val="none" w:sz="0" w:space="0" w:color="auto"/>
        <w:bottom w:val="none" w:sz="0" w:space="0" w:color="auto"/>
        <w:right w:val="none" w:sz="0" w:space="0" w:color="auto"/>
      </w:divBdr>
    </w:div>
    <w:div w:id="1945115104">
      <w:bodyDiv w:val="1"/>
      <w:marLeft w:val="0"/>
      <w:marRight w:val="0"/>
      <w:marTop w:val="0"/>
      <w:marBottom w:val="0"/>
      <w:divBdr>
        <w:top w:val="none" w:sz="0" w:space="0" w:color="auto"/>
        <w:left w:val="none" w:sz="0" w:space="0" w:color="auto"/>
        <w:bottom w:val="none" w:sz="0" w:space="0" w:color="auto"/>
        <w:right w:val="none" w:sz="0" w:space="0" w:color="auto"/>
      </w:divBdr>
    </w:div>
    <w:div w:id="1947154831">
      <w:bodyDiv w:val="1"/>
      <w:marLeft w:val="0"/>
      <w:marRight w:val="0"/>
      <w:marTop w:val="0"/>
      <w:marBottom w:val="0"/>
      <w:divBdr>
        <w:top w:val="none" w:sz="0" w:space="0" w:color="auto"/>
        <w:left w:val="none" w:sz="0" w:space="0" w:color="auto"/>
        <w:bottom w:val="none" w:sz="0" w:space="0" w:color="auto"/>
        <w:right w:val="none" w:sz="0" w:space="0" w:color="auto"/>
      </w:divBdr>
    </w:div>
    <w:div w:id="1984963109">
      <w:bodyDiv w:val="1"/>
      <w:marLeft w:val="0"/>
      <w:marRight w:val="0"/>
      <w:marTop w:val="0"/>
      <w:marBottom w:val="0"/>
      <w:divBdr>
        <w:top w:val="none" w:sz="0" w:space="0" w:color="auto"/>
        <w:left w:val="none" w:sz="0" w:space="0" w:color="auto"/>
        <w:bottom w:val="none" w:sz="0" w:space="0" w:color="auto"/>
        <w:right w:val="none" w:sz="0" w:space="0" w:color="auto"/>
      </w:divBdr>
    </w:div>
    <w:div w:id="2009408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k.wikipedia.org/wiki/Hnilec_(rieka)" TargetMode="External"/><Relationship Id="rId18" Type="http://schemas.openxmlformats.org/officeDocument/2006/relationships/image" Target="media/image6.png"/><Relationship Id="rId26" Type="http://schemas.openxmlformats.org/officeDocument/2006/relationships/chart" Target="charts/chart7.xml"/><Relationship Id="rId39" Type="http://schemas.openxmlformats.org/officeDocument/2006/relationships/fontTable" Target="fontTable.xml"/><Relationship Id="rId21" Type="http://schemas.openxmlformats.org/officeDocument/2006/relationships/chart" Target="charts/chart2.xm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sk.wikipedia.org/wiki/Horn%C3%A1d" TargetMode="External"/><Relationship Id="rId17" Type="http://schemas.openxmlformats.org/officeDocument/2006/relationships/image" Target="media/image5.png"/><Relationship Id="rId25" Type="http://schemas.openxmlformats.org/officeDocument/2006/relationships/chart" Target="charts/chart6.xml"/><Relationship Id="rId33" Type="http://schemas.openxmlformats.org/officeDocument/2006/relationships/image" Target="media/image11.png"/><Relationship Id="rId38" Type="http://schemas.openxmlformats.org/officeDocument/2006/relationships/hyperlink" Target="http://www.emeraldinsight.com/author/Ozcelebi%2C+Oguzhan"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8.tmp"/><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chart" Target="charts/chart5.xml"/><Relationship Id="rId32" Type="http://schemas.openxmlformats.org/officeDocument/2006/relationships/image" Target="media/image10.png"/><Relationship Id="rId37" Type="http://schemas.openxmlformats.org/officeDocument/2006/relationships/hyperlink" Target="http://www.emeraldinsight.com/author/Ku%C4%8Derov%C3%A1%2C+Jana"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image" Target="media/image14.tmp"/><Relationship Id="rId10" Type="http://schemas.openxmlformats.org/officeDocument/2006/relationships/image" Target="media/image2.tmp"/><Relationship Id="rId19" Type="http://schemas.openxmlformats.org/officeDocument/2006/relationships/image" Target="media/image7.tmp"/><Relationship Id="rId31"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hyperlink" Target="http://sdt.unwto.org/sites/all/files/docpdf/climate2008.pdf" TargetMode="External"/><Relationship Id="rId14" Type="http://schemas.openxmlformats.org/officeDocument/2006/relationships/hyperlink" Target="https://sk.wikipedia.org/wiki/Kras" TargetMode="Externa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image" Target="media/image9.tmp"/><Relationship Id="rId35" Type="http://schemas.openxmlformats.org/officeDocument/2006/relationships/image" Target="media/image13.png"/><Relationship Id="rId8" Type="http://schemas.openxmlformats.org/officeDocument/2006/relationships/image" Target="media/image1.jp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Zo&#353;it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ZZ1\Dropbox\TURADAPT\Realizacia\Anal&#253;za\podklady%20ku%20grafom\saldo.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ZZ1\Dropbox\TURADAPT\Realizacia\navstevnost%20NPSR\navstevnost.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Zo&#353;it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ZZ1\Dropbox\TURADAPT\Realizacia\navstevnost%20NPSR\Zo&#353;it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ZZ1\Dropbox\TURADAPT\Realizacia\navstevnost%20NPSR\Zo&#353;it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ZZ1\Dropbox\TURADAPT\Realizacia\Anal&#253;za\navstevnost%20NPSR\Zo&#353;it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PHSR%20SLOVENSK&#221;%20RAJ\Monika\Tabu&#318;ky.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PHSR%20SLOVENSK&#221;%20RAJ\Monika\Tabu&#318;ky.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ZZ1\Dropbox\TURADAPT\Realizacia\Anal&#253;za\ziadosti\UoZ_obce_okres%20Poprad_2005_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9.0125535294930254E-2"/>
          <c:y val="9.1778192060823729E-2"/>
          <c:w val="0.87162975112481045"/>
          <c:h val="0.79114263458080536"/>
        </c:manualLayout>
      </c:layout>
      <c:scatterChart>
        <c:scatterStyle val="lineMarker"/>
        <c:varyColors val="0"/>
        <c:ser>
          <c:idx val="0"/>
          <c:order val="0"/>
          <c:tx>
            <c:strRef>
              <c:f>Hárok1!$F$1:$F$2</c:f>
              <c:strCache>
                <c:ptCount val="2"/>
                <c:pt idx="0">
                  <c:v>Rozloha</c:v>
                </c:pt>
                <c:pt idx="1">
                  <c:v>(km2)</c:v>
                </c:pt>
              </c:strCache>
            </c:strRef>
          </c:tx>
          <c:spPr>
            <a:ln w="19050" cap="rnd">
              <a:noFill/>
              <a:round/>
            </a:ln>
            <a:effectLst/>
          </c:spPr>
          <c:marker>
            <c:symbol val="circle"/>
            <c:size val="5"/>
            <c:spPr>
              <a:solidFill>
                <a:schemeClr val="accent2"/>
              </a:solidFill>
              <a:ln w="9525">
                <a:solidFill>
                  <a:schemeClr val="accent2"/>
                </a:solidFill>
              </a:ln>
              <a:effectLst/>
            </c:spPr>
          </c:marker>
          <c:dPt>
            <c:idx val="2"/>
            <c:marker>
              <c:symbol val="circle"/>
              <c:size val="5"/>
              <c:spPr>
                <a:solidFill>
                  <a:schemeClr val="accent1">
                    <a:lumMod val="50000"/>
                  </a:schemeClr>
                </a:solidFill>
                <a:ln w="9525">
                  <a:solidFill>
                    <a:schemeClr val="accent2"/>
                  </a:solidFill>
                </a:ln>
                <a:effectLst/>
              </c:spPr>
            </c:marker>
            <c:bubble3D val="0"/>
            <c:extLst>
              <c:ext xmlns:c16="http://schemas.microsoft.com/office/drawing/2014/chart" uri="{C3380CC4-5D6E-409C-BE32-E72D297353CC}">
                <c16:uniqueId val="{00000002-FA99-48DF-B5A1-4A428E86D865}"/>
              </c:ext>
            </c:extLst>
          </c:dPt>
          <c:dPt>
            <c:idx val="5"/>
            <c:marker>
              <c:symbol val="circle"/>
              <c:size val="5"/>
              <c:spPr>
                <a:solidFill>
                  <a:schemeClr val="accent1">
                    <a:lumMod val="50000"/>
                  </a:schemeClr>
                </a:solidFill>
                <a:ln w="9525">
                  <a:solidFill>
                    <a:schemeClr val="accent2"/>
                  </a:solidFill>
                </a:ln>
                <a:effectLst/>
              </c:spPr>
            </c:marker>
            <c:bubble3D val="0"/>
            <c:extLst>
              <c:ext xmlns:c16="http://schemas.microsoft.com/office/drawing/2014/chart" uri="{C3380CC4-5D6E-409C-BE32-E72D297353CC}">
                <c16:uniqueId val="{00000005-FA99-48DF-B5A1-4A428E86D865}"/>
              </c:ext>
            </c:extLst>
          </c:dPt>
          <c:dPt>
            <c:idx val="8"/>
            <c:marker>
              <c:symbol val="circle"/>
              <c:size val="5"/>
              <c:spPr>
                <a:solidFill>
                  <a:schemeClr val="accent1">
                    <a:lumMod val="50000"/>
                  </a:schemeClr>
                </a:solidFill>
                <a:ln w="9525">
                  <a:solidFill>
                    <a:schemeClr val="accent2"/>
                  </a:solidFill>
                </a:ln>
                <a:effectLst/>
              </c:spPr>
            </c:marker>
            <c:bubble3D val="0"/>
            <c:extLst>
              <c:ext xmlns:c16="http://schemas.microsoft.com/office/drawing/2014/chart" uri="{C3380CC4-5D6E-409C-BE32-E72D297353CC}">
                <c16:uniqueId val="{00000008-FA99-48DF-B5A1-4A428E86D865}"/>
              </c:ext>
            </c:extLst>
          </c:dPt>
          <c:dPt>
            <c:idx val="9"/>
            <c:marker>
              <c:symbol val="circle"/>
              <c:size val="5"/>
              <c:spPr>
                <a:solidFill>
                  <a:schemeClr val="accent1">
                    <a:lumMod val="75000"/>
                  </a:schemeClr>
                </a:solidFill>
                <a:ln w="9525">
                  <a:solidFill>
                    <a:schemeClr val="accent2"/>
                  </a:solidFill>
                </a:ln>
                <a:effectLst/>
              </c:spPr>
            </c:marker>
            <c:bubble3D val="0"/>
            <c:extLst>
              <c:ext xmlns:c16="http://schemas.microsoft.com/office/drawing/2014/chart" uri="{C3380CC4-5D6E-409C-BE32-E72D297353CC}">
                <c16:uniqueId val="{00000009-FA99-48DF-B5A1-4A428E86D865}"/>
              </c:ext>
            </c:extLst>
          </c:dPt>
          <c:dPt>
            <c:idx val="10"/>
            <c:marker>
              <c:symbol val="circle"/>
              <c:size val="5"/>
              <c:spPr>
                <a:solidFill>
                  <a:schemeClr val="accent1">
                    <a:lumMod val="50000"/>
                  </a:schemeClr>
                </a:solidFill>
                <a:ln w="9525">
                  <a:solidFill>
                    <a:schemeClr val="accent2"/>
                  </a:solidFill>
                </a:ln>
                <a:effectLst/>
              </c:spPr>
            </c:marker>
            <c:bubble3D val="0"/>
            <c:extLst>
              <c:ext xmlns:c16="http://schemas.microsoft.com/office/drawing/2014/chart" uri="{C3380CC4-5D6E-409C-BE32-E72D297353CC}">
                <c16:uniqueId val="{0000000A-FA99-48DF-B5A1-4A428E86D865}"/>
              </c:ext>
            </c:extLst>
          </c:dPt>
          <c:dPt>
            <c:idx val="14"/>
            <c:marker>
              <c:symbol val="circle"/>
              <c:size val="5"/>
              <c:spPr>
                <a:solidFill>
                  <a:schemeClr val="accent1">
                    <a:lumMod val="50000"/>
                  </a:schemeClr>
                </a:solidFill>
                <a:ln w="9525">
                  <a:solidFill>
                    <a:schemeClr val="accent2"/>
                  </a:solidFill>
                </a:ln>
                <a:effectLst/>
              </c:spPr>
            </c:marker>
            <c:bubble3D val="0"/>
            <c:extLst>
              <c:ext xmlns:c16="http://schemas.microsoft.com/office/drawing/2014/chart" uri="{C3380CC4-5D6E-409C-BE32-E72D297353CC}">
                <c16:uniqueId val="{0000000E-FA99-48DF-B5A1-4A428E86D865}"/>
              </c:ext>
            </c:extLst>
          </c:dPt>
          <c:dPt>
            <c:idx val="15"/>
            <c:marker>
              <c:symbol val="circle"/>
              <c:size val="5"/>
              <c:spPr>
                <a:solidFill>
                  <a:schemeClr val="accent2">
                    <a:lumMod val="75000"/>
                  </a:schemeClr>
                </a:solidFill>
                <a:ln w="9525">
                  <a:solidFill>
                    <a:schemeClr val="accent2"/>
                  </a:solidFill>
                </a:ln>
                <a:effectLst/>
              </c:spPr>
            </c:marker>
            <c:bubble3D val="0"/>
            <c:extLst>
              <c:ext xmlns:c16="http://schemas.microsoft.com/office/drawing/2014/chart" uri="{C3380CC4-5D6E-409C-BE32-E72D297353CC}">
                <c16:uniqueId val="{0000000F-FA99-48DF-B5A1-4A428E86D865}"/>
              </c:ext>
            </c:extLst>
          </c:dPt>
          <c:dPt>
            <c:idx val="16"/>
            <c:marker>
              <c:symbol val="circle"/>
              <c:size val="5"/>
              <c:spPr>
                <a:solidFill>
                  <a:schemeClr val="accent1">
                    <a:lumMod val="50000"/>
                  </a:schemeClr>
                </a:solidFill>
                <a:ln w="9525">
                  <a:solidFill>
                    <a:schemeClr val="accent2"/>
                  </a:solidFill>
                </a:ln>
                <a:effectLst/>
              </c:spPr>
            </c:marker>
            <c:bubble3D val="0"/>
            <c:extLst>
              <c:ext xmlns:c16="http://schemas.microsoft.com/office/drawing/2014/chart" uri="{C3380CC4-5D6E-409C-BE32-E72D297353CC}">
                <c16:uniqueId val="{00000010-FA99-48DF-B5A1-4A428E86D865}"/>
              </c:ext>
            </c:extLst>
          </c:dPt>
          <c:dLbls>
            <c:dLbl>
              <c:idx val="0"/>
              <c:tx>
                <c:rich>
                  <a:bodyPr/>
                  <a:lstStyle/>
                  <a:p>
                    <a:r>
                      <a:rPr lang="en-US"/>
                      <a:t>Betlanovce</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99-48DF-B5A1-4A428E86D865}"/>
                </c:ext>
              </c:extLst>
            </c:dLbl>
            <c:dLbl>
              <c:idx val="1"/>
              <c:layout>
                <c:manualLayout>
                  <c:x val="-4.3219881145326851E-3"/>
                  <c:y val="1.2888674077654261E-2"/>
                </c:manualLayout>
              </c:layout>
              <c:tx>
                <c:rich>
                  <a:bodyPr/>
                  <a:lstStyle/>
                  <a:p>
                    <a:r>
                      <a:rPr lang="en-US"/>
                      <a:t>Hnilčík</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99-48DF-B5A1-4A428E86D865}"/>
                </c:ext>
              </c:extLst>
            </c:dLbl>
            <c:dLbl>
              <c:idx val="2"/>
              <c:tx>
                <c:rich>
                  <a:bodyPr/>
                  <a:lstStyle/>
                  <a:p>
                    <a:r>
                      <a:rPr lang="en-US"/>
                      <a:t>Hnilec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99-48DF-B5A1-4A428E86D865}"/>
                </c:ext>
              </c:extLst>
            </c:dLbl>
            <c:dLbl>
              <c:idx val="3"/>
              <c:tx>
                <c:rich>
                  <a:bodyPr/>
                  <a:lstStyle/>
                  <a:p>
                    <a:r>
                      <a:rPr lang="en-US"/>
                      <a:t>Hrabušice</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99-48DF-B5A1-4A428E86D865}"/>
                </c:ext>
              </c:extLst>
            </c:dLbl>
            <c:dLbl>
              <c:idx val="4"/>
              <c:tx>
                <c:rich>
                  <a:bodyPr/>
                  <a:lstStyle/>
                  <a:p>
                    <a:r>
                      <a:rPr lang="en-US"/>
                      <a:t>Letanovce</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99-48DF-B5A1-4A428E86D865}"/>
                </c:ext>
              </c:extLst>
            </c:dLbl>
            <c:dLbl>
              <c:idx val="5"/>
              <c:tx>
                <c:rich>
                  <a:bodyPr/>
                  <a:lstStyle/>
                  <a:p>
                    <a:r>
                      <a:rPr lang="en-US"/>
                      <a:t>Mlynky</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A99-48DF-B5A1-4A428E86D865}"/>
                </c:ext>
              </c:extLst>
            </c:dLbl>
            <c:dLbl>
              <c:idx val="6"/>
              <c:tx>
                <c:rich>
                  <a:bodyPr/>
                  <a:lstStyle/>
                  <a:p>
                    <a:r>
                      <a:rPr lang="en-US"/>
                      <a:t>Smižany</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A99-48DF-B5A1-4A428E86D865}"/>
                </c:ext>
              </c:extLst>
            </c:dLbl>
            <c:dLbl>
              <c:idx val="7"/>
              <c:tx>
                <c:rich>
                  <a:bodyPr/>
                  <a:lstStyle/>
                  <a:p>
                    <a:r>
                      <a:rPr lang="en-US"/>
                      <a:t>Sp.</a:t>
                    </a:r>
                    <a:r>
                      <a:rPr lang="en-US" baseline="0"/>
                      <a:t> Tomášovce</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A99-48DF-B5A1-4A428E86D865}"/>
                </c:ext>
              </c:extLst>
            </c:dLbl>
            <c:dLbl>
              <c:idx val="8"/>
              <c:tx>
                <c:rich>
                  <a:bodyPr/>
                  <a:lstStyle/>
                  <a:p>
                    <a:r>
                      <a:rPr lang="en-US"/>
                      <a:t>Dedinky</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A99-48DF-B5A1-4A428E86D865}"/>
                </c:ext>
              </c:extLst>
            </c:dLbl>
            <c:dLbl>
              <c:idx val="9"/>
              <c:tx>
                <c:rich>
                  <a:bodyPr/>
                  <a:lstStyle/>
                  <a:p>
                    <a:r>
                      <a:rPr lang="en-US"/>
                      <a:t>Dobšiná</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A99-48DF-B5A1-4A428E86D865}"/>
                </c:ext>
              </c:extLst>
            </c:dLbl>
            <c:dLbl>
              <c:idx val="10"/>
              <c:tx>
                <c:rich>
                  <a:bodyPr/>
                  <a:lstStyle/>
                  <a:p>
                    <a:r>
                      <a:rPr lang="en-US"/>
                      <a:t>Stratená</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A99-48DF-B5A1-4A428E86D865}"/>
                </c:ext>
              </c:extLst>
            </c:dLbl>
            <c:dLbl>
              <c:idx val="11"/>
              <c:tx>
                <c:rich>
                  <a:bodyPr/>
                  <a:lstStyle/>
                  <a:p>
                    <a:r>
                      <a:rPr lang="en-US"/>
                      <a:t>Hranovnica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A99-48DF-B5A1-4A428E86D865}"/>
                </c:ext>
              </c:extLst>
            </c:dLbl>
            <c:dLbl>
              <c:idx val="12"/>
              <c:tx>
                <c:rich>
                  <a:bodyPr/>
                  <a:lstStyle/>
                  <a:p>
                    <a:r>
                      <a:rPr lang="en-US"/>
                      <a:t>Sp. Bystré</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A99-48DF-B5A1-4A428E86D865}"/>
                </c:ext>
              </c:extLst>
            </c:dLbl>
            <c:dLbl>
              <c:idx val="13"/>
              <c:tx>
                <c:rich>
                  <a:bodyPr/>
                  <a:lstStyle/>
                  <a:p>
                    <a:r>
                      <a:rPr lang="en-US"/>
                      <a:t>Sp. Štiavnik</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A99-48DF-B5A1-4A428E86D865}"/>
                </c:ext>
              </c:extLst>
            </c:dLbl>
            <c:dLbl>
              <c:idx val="14"/>
              <c:tx>
                <c:rich>
                  <a:bodyPr/>
                  <a:lstStyle/>
                  <a:p>
                    <a:r>
                      <a:rPr lang="en-US"/>
                      <a:t>Vernár</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A99-48DF-B5A1-4A428E86D865}"/>
                </c:ext>
              </c:extLst>
            </c:dLbl>
            <c:dLbl>
              <c:idx val="15"/>
              <c:tx>
                <c:rich>
                  <a:bodyPr/>
                  <a:lstStyle/>
                  <a:p>
                    <a:r>
                      <a:rPr lang="en-US"/>
                      <a:t>Vydrník</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A99-48DF-B5A1-4A428E86D865}"/>
                </c:ext>
              </c:extLst>
            </c:dLbl>
            <c:dLbl>
              <c:idx val="16"/>
              <c:tx>
                <c:rich>
                  <a:bodyPr/>
                  <a:lstStyle/>
                  <a:p>
                    <a:r>
                      <a:rPr lang="en-US"/>
                      <a:t>Telgárt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A99-48DF-B5A1-4A428E86D8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Hárok1!$E$3:$E$19</c:f>
              <c:numCache>
                <c:formatCode>General</c:formatCode>
                <c:ptCount val="17"/>
                <c:pt idx="0">
                  <c:v>701</c:v>
                </c:pt>
                <c:pt idx="1">
                  <c:v>556</c:v>
                </c:pt>
                <c:pt idx="2">
                  <c:v>427</c:v>
                </c:pt>
                <c:pt idx="3">
                  <c:v>2486</c:v>
                </c:pt>
                <c:pt idx="4">
                  <c:v>2293</c:v>
                </c:pt>
                <c:pt idx="5">
                  <c:v>554</c:v>
                </c:pt>
                <c:pt idx="6">
                  <c:v>8674</c:v>
                </c:pt>
                <c:pt idx="7">
                  <c:v>1986</c:v>
                </c:pt>
                <c:pt idx="8">
                  <c:v>257</c:v>
                </c:pt>
                <c:pt idx="9">
                  <c:v>5657</c:v>
                </c:pt>
                <c:pt idx="10">
                  <c:v>124</c:v>
                </c:pt>
                <c:pt idx="11">
                  <c:v>3103</c:v>
                </c:pt>
                <c:pt idx="12">
                  <c:v>2544</c:v>
                </c:pt>
                <c:pt idx="13">
                  <c:v>2842</c:v>
                </c:pt>
                <c:pt idx="14">
                  <c:v>571</c:v>
                </c:pt>
                <c:pt idx="15">
                  <c:v>1212</c:v>
                </c:pt>
                <c:pt idx="16">
                  <c:v>1530</c:v>
                </c:pt>
              </c:numCache>
            </c:numRef>
          </c:xVal>
          <c:yVal>
            <c:numRef>
              <c:f>Hárok1!$F$3:$F$19</c:f>
              <c:numCache>
                <c:formatCode>General</c:formatCode>
                <c:ptCount val="17"/>
                <c:pt idx="0">
                  <c:v>10.130000000000001</c:v>
                </c:pt>
                <c:pt idx="1">
                  <c:v>23</c:v>
                </c:pt>
                <c:pt idx="2">
                  <c:v>27.08</c:v>
                </c:pt>
                <c:pt idx="3">
                  <c:v>40.880000000000003</c:v>
                </c:pt>
                <c:pt idx="4">
                  <c:v>21.38</c:v>
                </c:pt>
                <c:pt idx="5">
                  <c:v>25</c:v>
                </c:pt>
                <c:pt idx="6">
                  <c:v>45.7</c:v>
                </c:pt>
                <c:pt idx="7">
                  <c:v>12.29</c:v>
                </c:pt>
                <c:pt idx="8">
                  <c:v>3.64</c:v>
                </c:pt>
                <c:pt idx="9">
                  <c:v>82.72</c:v>
                </c:pt>
                <c:pt idx="10">
                  <c:v>35.36</c:v>
                </c:pt>
                <c:pt idx="11">
                  <c:v>32.659999999999997</c:v>
                </c:pt>
                <c:pt idx="12">
                  <c:v>38</c:v>
                </c:pt>
                <c:pt idx="13">
                  <c:v>18.36</c:v>
                </c:pt>
                <c:pt idx="14">
                  <c:v>52.9</c:v>
                </c:pt>
                <c:pt idx="15">
                  <c:v>4.5999999999999996</c:v>
                </c:pt>
                <c:pt idx="16">
                  <c:v>56</c:v>
                </c:pt>
              </c:numCache>
            </c:numRef>
          </c:yVal>
          <c:smooth val="0"/>
          <c:extLst>
            <c:ext xmlns:c16="http://schemas.microsoft.com/office/drawing/2014/chart" uri="{C3380CC4-5D6E-409C-BE32-E72D297353CC}">
              <c16:uniqueId val="{00000011-FA99-48DF-B5A1-4A428E86D865}"/>
            </c:ext>
          </c:extLst>
        </c:ser>
        <c:dLbls>
          <c:showLegendKey val="0"/>
          <c:showVal val="0"/>
          <c:showCatName val="0"/>
          <c:showSerName val="0"/>
          <c:showPercent val="0"/>
          <c:showBubbleSize val="0"/>
        </c:dLbls>
        <c:axId val="214756040"/>
        <c:axId val="164683304"/>
      </c:scatterChart>
      <c:valAx>
        <c:axId val="2147560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b="1"/>
                  <a:t>Počet obyvateľov (r. 2016)</a:t>
                </a:r>
              </a:p>
            </c:rich>
          </c:tx>
          <c:layout>
            <c:manualLayout>
              <c:xMode val="edge"/>
              <c:yMode val="edge"/>
              <c:x val="0.40100716577094531"/>
              <c:y val="0.9415587430498204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k-SK"/>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64683304"/>
        <c:crosses val="autoZero"/>
        <c:crossBetween val="midCat"/>
      </c:valAx>
      <c:valAx>
        <c:axId val="164683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b="1"/>
                  <a:t>Rozloha</a:t>
                </a:r>
                <a:r>
                  <a:rPr lang="sk-SK" b="1" baseline="0"/>
                  <a:t> obce (km2)</a:t>
                </a:r>
                <a:endParaRPr lang="sk-SK" b="1"/>
              </a:p>
            </c:rich>
          </c:tx>
          <c:layout>
            <c:manualLayout>
              <c:xMode val="edge"/>
              <c:yMode val="edge"/>
              <c:x val="1.4670562013081699E-2"/>
              <c:y val="0.271093723241095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k-SK"/>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147560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sk-SK"/>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8937007874016"/>
          <c:y val="0.12078703703703704"/>
          <c:w val="0.88254396325459317"/>
          <c:h val="0.6714577865266842"/>
        </c:manualLayout>
      </c:layout>
      <c:lineChart>
        <c:grouping val="standard"/>
        <c:varyColors val="0"/>
        <c:ser>
          <c:idx val="0"/>
          <c:order val="0"/>
          <c:tx>
            <c:strRef>
              <c:f>Hárok1!$A$22</c:f>
              <c:strCache>
                <c:ptCount val="1"/>
                <c:pt idx="0">
                  <c:v>Severná časť</c:v>
                </c:pt>
              </c:strCache>
            </c:strRef>
          </c:tx>
          <c:spPr>
            <a:ln w="28575" cap="rnd">
              <a:solidFill>
                <a:schemeClr val="accent2">
                  <a:lumMod val="75000"/>
                </a:schemeClr>
              </a:solidFill>
              <a:round/>
            </a:ln>
            <a:effectLst/>
          </c:spPr>
          <c:marker>
            <c:symbol val="circle"/>
            <c:size val="5"/>
            <c:spPr>
              <a:solidFill>
                <a:schemeClr val="accent2"/>
              </a:solidFill>
              <a:ln w="9525">
                <a:solidFill>
                  <a:schemeClr val="accent2">
                    <a:lumMod val="75000"/>
                  </a:schemeClr>
                </a:solidFill>
              </a:ln>
              <a:effectLst/>
            </c:spPr>
          </c:marker>
          <c:dLbls>
            <c:dLbl>
              <c:idx val="2"/>
              <c:layout>
                <c:manualLayout>
                  <c:x val="-2.9770997375328085E-2"/>
                  <c:y val="4.86457421988918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B2-4200-BED9-D4334018BA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Hárok1!$B$21:$E$21</c:f>
              <c:numCache>
                <c:formatCode>General</c:formatCode>
                <c:ptCount val="4"/>
                <c:pt idx="0">
                  <c:v>1993</c:v>
                </c:pt>
                <c:pt idx="1">
                  <c:v>2003</c:v>
                </c:pt>
                <c:pt idx="2">
                  <c:v>2013</c:v>
                </c:pt>
                <c:pt idx="3">
                  <c:v>2016</c:v>
                </c:pt>
              </c:numCache>
            </c:numRef>
          </c:cat>
          <c:val>
            <c:numRef>
              <c:f>Hárok1!$B$22:$E$22</c:f>
              <c:numCache>
                <c:formatCode>General</c:formatCode>
                <c:ptCount val="4"/>
                <c:pt idx="0">
                  <c:v>381</c:v>
                </c:pt>
                <c:pt idx="1">
                  <c:v>79</c:v>
                </c:pt>
                <c:pt idx="2">
                  <c:v>-189</c:v>
                </c:pt>
                <c:pt idx="3">
                  <c:v>73</c:v>
                </c:pt>
              </c:numCache>
            </c:numRef>
          </c:val>
          <c:smooth val="0"/>
          <c:extLst>
            <c:ext xmlns:c16="http://schemas.microsoft.com/office/drawing/2014/chart" uri="{C3380CC4-5D6E-409C-BE32-E72D297353CC}">
              <c16:uniqueId val="{00000001-59B2-4200-BED9-D4334018BA79}"/>
            </c:ext>
          </c:extLst>
        </c:ser>
        <c:ser>
          <c:idx val="1"/>
          <c:order val="1"/>
          <c:tx>
            <c:strRef>
              <c:f>Hárok1!$A$23</c:f>
              <c:strCache>
                <c:ptCount val="1"/>
                <c:pt idx="0">
                  <c:v>Južná časť</c:v>
                </c:pt>
              </c:strCache>
            </c:strRef>
          </c:tx>
          <c:spPr>
            <a:ln w="28575" cap="rnd">
              <a:solidFill>
                <a:schemeClr val="accent1">
                  <a:lumMod val="75000"/>
                </a:schemeClr>
              </a:solidFill>
              <a:round/>
            </a:ln>
            <a:effectLst/>
          </c:spPr>
          <c:marker>
            <c:symbol val="circle"/>
            <c:size val="5"/>
            <c:spPr>
              <a:solidFill>
                <a:schemeClr val="accent1"/>
              </a:solidFill>
              <a:ln w="9525">
                <a:solidFill>
                  <a:schemeClr val="accent1">
                    <a:lumMod val="75000"/>
                  </a:schemeClr>
                </a:solidFill>
              </a:ln>
              <a:effectLst/>
            </c:spPr>
          </c:marker>
          <c:dLbls>
            <c:dLbl>
              <c:idx val="0"/>
              <c:layout>
                <c:manualLayout>
                  <c:x val="-4.0104330708661415E-2"/>
                  <c:y val="4.40161125692621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B2-4200-BED9-D4334018BA79}"/>
                </c:ext>
              </c:extLst>
            </c:dLbl>
            <c:dLbl>
              <c:idx val="1"/>
              <c:layout>
                <c:manualLayout>
                  <c:x val="-2.9944444444444444E-2"/>
                  <c:y val="4.86457421988917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B2-4200-BED9-D4334018BA79}"/>
                </c:ext>
              </c:extLst>
            </c:dLbl>
            <c:dLbl>
              <c:idx val="2"/>
              <c:layout>
                <c:manualLayout>
                  <c:x val="-4.0104330708661519E-2"/>
                  <c:y val="2.54975940507436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B2-4200-BED9-D4334018BA79}"/>
                </c:ext>
              </c:extLst>
            </c:dLbl>
            <c:dLbl>
              <c:idx val="3"/>
              <c:layout>
                <c:manualLayout>
                  <c:x val="-3.4548775153105962E-2"/>
                  <c:y val="4.40161125692620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B2-4200-BED9-D4334018BA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Hárok1!$B$21:$E$21</c:f>
              <c:numCache>
                <c:formatCode>General</c:formatCode>
                <c:ptCount val="4"/>
                <c:pt idx="0">
                  <c:v>1993</c:v>
                </c:pt>
                <c:pt idx="1">
                  <c:v>2003</c:v>
                </c:pt>
                <c:pt idx="2">
                  <c:v>2013</c:v>
                </c:pt>
                <c:pt idx="3">
                  <c:v>2016</c:v>
                </c:pt>
              </c:numCache>
            </c:numRef>
          </c:cat>
          <c:val>
            <c:numRef>
              <c:f>Hárok1!$B$23:$E$23</c:f>
              <c:numCache>
                <c:formatCode>General</c:formatCode>
                <c:ptCount val="4"/>
                <c:pt idx="0">
                  <c:v>-22</c:v>
                </c:pt>
                <c:pt idx="1">
                  <c:v>2</c:v>
                </c:pt>
                <c:pt idx="2">
                  <c:v>-78</c:v>
                </c:pt>
                <c:pt idx="3">
                  <c:v>-66</c:v>
                </c:pt>
              </c:numCache>
            </c:numRef>
          </c:val>
          <c:smooth val="0"/>
          <c:extLst>
            <c:ext xmlns:c16="http://schemas.microsoft.com/office/drawing/2014/chart" uri="{C3380CC4-5D6E-409C-BE32-E72D297353CC}">
              <c16:uniqueId val="{00000006-59B2-4200-BED9-D4334018BA79}"/>
            </c:ext>
          </c:extLst>
        </c:ser>
        <c:ser>
          <c:idx val="2"/>
          <c:order val="2"/>
          <c:tx>
            <c:strRef>
              <c:f>Hárok1!$A$24</c:f>
              <c:strCache>
                <c:ptCount val="1"/>
                <c:pt idx="0">
                  <c:v>Spišská Nová Ves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2"/>
              <c:layout>
                <c:manualLayout>
                  <c:x val="-4.0104330708661519E-2"/>
                  <c:y val="-5.32061096529600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9B2-4200-BED9-D4334018BA79}"/>
                </c:ext>
              </c:extLst>
            </c:dLbl>
            <c:dLbl>
              <c:idx val="3"/>
              <c:layout>
                <c:manualLayout>
                  <c:x val="-3.8104330708661517E-2"/>
                  <c:y val="3.93864829396325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9B2-4200-BED9-D4334018BA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Hárok1!$B$21:$E$21</c:f>
              <c:numCache>
                <c:formatCode>General</c:formatCode>
                <c:ptCount val="4"/>
                <c:pt idx="0">
                  <c:v>1993</c:v>
                </c:pt>
                <c:pt idx="1">
                  <c:v>2003</c:v>
                </c:pt>
                <c:pt idx="2">
                  <c:v>2013</c:v>
                </c:pt>
                <c:pt idx="3">
                  <c:v>2016</c:v>
                </c:pt>
              </c:numCache>
            </c:numRef>
          </c:cat>
          <c:val>
            <c:numRef>
              <c:f>Hárok1!$B$24:$E$24</c:f>
              <c:numCache>
                <c:formatCode>General</c:formatCode>
                <c:ptCount val="4"/>
                <c:pt idx="0">
                  <c:v>-364</c:v>
                </c:pt>
                <c:pt idx="1">
                  <c:v>-274</c:v>
                </c:pt>
                <c:pt idx="2">
                  <c:v>-68</c:v>
                </c:pt>
                <c:pt idx="3">
                  <c:v>-172</c:v>
                </c:pt>
              </c:numCache>
            </c:numRef>
          </c:val>
          <c:smooth val="0"/>
          <c:extLst>
            <c:ext xmlns:c16="http://schemas.microsoft.com/office/drawing/2014/chart" uri="{C3380CC4-5D6E-409C-BE32-E72D297353CC}">
              <c16:uniqueId val="{00000009-59B2-4200-BED9-D4334018BA79}"/>
            </c:ext>
          </c:extLst>
        </c:ser>
        <c:dLbls>
          <c:showLegendKey val="0"/>
          <c:showVal val="0"/>
          <c:showCatName val="0"/>
          <c:showSerName val="0"/>
          <c:showPercent val="0"/>
          <c:showBubbleSize val="0"/>
        </c:dLbls>
        <c:marker val="1"/>
        <c:smooth val="0"/>
        <c:axId val="107148472"/>
        <c:axId val="107148864"/>
      </c:lineChart>
      <c:catAx>
        <c:axId val="1071484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07148864"/>
        <c:crosses val="autoZero"/>
        <c:auto val="1"/>
        <c:lblAlgn val="ctr"/>
        <c:lblOffset val="100"/>
        <c:noMultiLvlLbl val="0"/>
      </c:catAx>
      <c:valAx>
        <c:axId val="107148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07148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sk-SK"/>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Hárok1!$A$9:$K$9</c:f>
              <c:strCache>
                <c:ptCount val="11"/>
                <c:pt idx="0">
                  <c:v>Letná*</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solidFill>
                    <a:latin typeface="+mn-lt"/>
                    <a:ea typeface="+mn-ea"/>
                    <a:cs typeface="+mn-cs"/>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Hárok1!$L$8:$S$8</c:f>
              <c:numCache>
                <c:formatCode>General</c:formatCode>
                <c:ptCount val="8"/>
                <c:pt idx="0">
                  <c:v>2010</c:v>
                </c:pt>
                <c:pt idx="1">
                  <c:v>2011</c:v>
                </c:pt>
                <c:pt idx="2">
                  <c:v>2012</c:v>
                </c:pt>
                <c:pt idx="3">
                  <c:v>2013</c:v>
                </c:pt>
                <c:pt idx="4">
                  <c:v>2014</c:v>
                </c:pt>
                <c:pt idx="5">
                  <c:v>2015</c:v>
                </c:pt>
                <c:pt idx="6">
                  <c:v>2016</c:v>
                </c:pt>
                <c:pt idx="7">
                  <c:v>2017</c:v>
                </c:pt>
              </c:numCache>
            </c:numRef>
          </c:cat>
          <c:val>
            <c:numRef>
              <c:f>Hárok1!$L$9:$S$9</c:f>
              <c:numCache>
                <c:formatCode>General</c:formatCode>
                <c:ptCount val="8"/>
                <c:pt idx="0">
                  <c:v>192200</c:v>
                </c:pt>
                <c:pt idx="1">
                  <c:v>208258</c:v>
                </c:pt>
                <c:pt idx="2">
                  <c:v>230206</c:v>
                </c:pt>
                <c:pt idx="3">
                  <c:v>227726</c:v>
                </c:pt>
                <c:pt idx="4">
                  <c:v>142042</c:v>
                </c:pt>
                <c:pt idx="5">
                  <c:v>258106</c:v>
                </c:pt>
                <c:pt idx="6">
                  <c:v>249054</c:v>
                </c:pt>
                <c:pt idx="7">
                  <c:v>303118</c:v>
                </c:pt>
              </c:numCache>
            </c:numRef>
          </c:val>
          <c:smooth val="0"/>
          <c:extLst>
            <c:ext xmlns:c16="http://schemas.microsoft.com/office/drawing/2014/chart" uri="{C3380CC4-5D6E-409C-BE32-E72D297353CC}">
              <c16:uniqueId val="{00000000-F9FB-4020-901C-B59F7ED2A22B}"/>
            </c:ext>
          </c:extLst>
        </c:ser>
        <c:ser>
          <c:idx val="1"/>
          <c:order val="1"/>
          <c:tx>
            <c:strRef>
              <c:f>Hárok1!$A$10:$K$10</c:f>
              <c:strCache>
                <c:ptCount val="11"/>
                <c:pt idx="0">
                  <c:v>Zimná*</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mn-lt"/>
                    <a:ea typeface="+mn-ea"/>
                    <a:cs typeface="+mn-cs"/>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Hárok1!$L$8:$S$8</c:f>
              <c:numCache>
                <c:formatCode>General</c:formatCode>
                <c:ptCount val="8"/>
                <c:pt idx="0">
                  <c:v>2010</c:v>
                </c:pt>
                <c:pt idx="1">
                  <c:v>2011</c:v>
                </c:pt>
                <c:pt idx="2">
                  <c:v>2012</c:v>
                </c:pt>
                <c:pt idx="3">
                  <c:v>2013</c:v>
                </c:pt>
                <c:pt idx="4">
                  <c:v>2014</c:v>
                </c:pt>
                <c:pt idx="5">
                  <c:v>2015</c:v>
                </c:pt>
                <c:pt idx="6">
                  <c:v>2016</c:v>
                </c:pt>
                <c:pt idx="7">
                  <c:v>2017</c:v>
                </c:pt>
              </c:numCache>
            </c:numRef>
          </c:cat>
          <c:val>
            <c:numRef>
              <c:f>Hárok1!$L$10:$S$10</c:f>
              <c:numCache>
                <c:formatCode>General</c:formatCode>
                <c:ptCount val="8"/>
                <c:pt idx="0">
                  <c:v>19479</c:v>
                </c:pt>
                <c:pt idx="1">
                  <c:v>34428</c:v>
                </c:pt>
                <c:pt idx="2">
                  <c:v>19781</c:v>
                </c:pt>
                <c:pt idx="3">
                  <c:v>32012</c:v>
                </c:pt>
                <c:pt idx="4">
                  <c:v>29445</c:v>
                </c:pt>
                <c:pt idx="5">
                  <c:v>8456</c:v>
                </c:pt>
                <c:pt idx="6">
                  <c:v>16459</c:v>
                </c:pt>
                <c:pt idx="7">
                  <c:v>20838</c:v>
                </c:pt>
              </c:numCache>
            </c:numRef>
          </c:val>
          <c:smooth val="0"/>
          <c:extLst>
            <c:ext xmlns:c16="http://schemas.microsoft.com/office/drawing/2014/chart" uri="{C3380CC4-5D6E-409C-BE32-E72D297353CC}">
              <c16:uniqueId val="{00000001-F9FB-4020-901C-B59F7ED2A22B}"/>
            </c:ext>
          </c:extLst>
        </c:ser>
        <c:ser>
          <c:idx val="2"/>
          <c:order val="2"/>
          <c:tx>
            <c:strRef>
              <c:f>Hárok1!$A$11:$K$11</c:f>
              <c:strCache>
                <c:ptCount val="11"/>
                <c:pt idx="0">
                  <c:v>Prechodná*</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3.9802761341222917E-2"/>
                  <c:y val="3.59111626627406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FB-4020-901C-B59F7ED2A22B}"/>
                </c:ext>
              </c:extLst>
            </c:dLbl>
            <c:dLbl>
              <c:idx val="1"/>
              <c:layout>
                <c:manualLayout>
                  <c:x val="-3.9397033580861572E-2"/>
                  <c:y val="2.807368752911149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3"/>
                      </a:solidFill>
                      <a:latin typeface="+mn-lt"/>
                      <a:ea typeface="+mn-ea"/>
                      <a:cs typeface="+mn-cs"/>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manualLayout>
                      <c:w val="8.1230991959338403E-2"/>
                      <c:h val="4.470170670290579E-2"/>
                    </c:manualLayout>
                  </c15:layout>
                </c:ext>
                <c:ext xmlns:c16="http://schemas.microsoft.com/office/drawing/2014/chart" uri="{C3380CC4-5D6E-409C-BE32-E72D297353CC}">
                  <c16:uniqueId val="{00000003-F9FB-4020-901C-B59F7ED2A22B}"/>
                </c:ext>
              </c:extLst>
            </c:dLbl>
            <c:dLbl>
              <c:idx val="2"/>
              <c:layout>
                <c:manualLayout>
                  <c:x val="-4.3747534516765288E-2"/>
                  <c:y val="3.96883109158096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9FB-4020-901C-B59F7ED2A22B}"/>
                </c:ext>
              </c:extLst>
            </c:dLbl>
            <c:dLbl>
              <c:idx val="3"/>
              <c:layout>
                <c:manualLayout>
                  <c:x val="-4.9664694280078969E-2"/>
                  <c:y val="3.96883109158097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9FB-4020-901C-B59F7ED2A22B}"/>
                </c:ext>
              </c:extLst>
            </c:dLbl>
            <c:dLbl>
              <c:idx val="4"/>
              <c:layout>
                <c:manualLayout>
                  <c:x val="-2.205128205128205E-2"/>
                  <c:y val="2.08025696504650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9FB-4020-901C-B59F7ED2A22B}"/>
                </c:ext>
              </c:extLst>
            </c:dLbl>
            <c:dLbl>
              <c:idx val="5"/>
              <c:layout>
                <c:manualLayout>
                  <c:x val="-3.7830374753451676E-2"/>
                  <c:y val="3.5911162662740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9FB-4020-901C-B59F7ED2A22B}"/>
                </c:ext>
              </c:extLst>
            </c:dLbl>
            <c:dLbl>
              <c:idx val="6"/>
              <c:layout>
                <c:manualLayout>
                  <c:x val="-4.3747534516765288E-2"/>
                  <c:y val="3.5911162662740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9FB-4020-901C-B59F7ED2A22B}"/>
                </c:ext>
              </c:extLst>
            </c:dLbl>
            <c:dLbl>
              <c:idx val="7"/>
              <c:layout>
                <c:manualLayout>
                  <c:x val="-3.6206339592166362E-2"/>
                  <c:y val="3.96883109158097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9FB-4020-901C-B59F7ED2A22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solidFill>
                    <a:latin typeface="+mn-lt"/>
                    <a:ea typeface="+mn-ea"/>
                    <a:cs typeface="+mn-cs"/>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Hárok1!$L$8:$S$8</c:f>
              <c:numCache>
                <c:formatCode>General</c:formatCode>
                <c:ptCount val="8"/>
                <c:pt idx="0">
                  <c:v>2010</c:v>
                </c:pt>
                <c:pt idx="1">
                  <c:v>2011</c:v>
                </c:pt>
                <c:pt idx="2">
                  <c:v>2012</c:v>
                </c:pt>
                <c:pt idx="3">
                  <c:v>2013</c:v>
                </c:pt>
                <c:pt idx="4">
                  <c:v>2014</c:v>
                </c:pt>
                <c:pt idx="5">
                  <c:v>2015</c:v>
                </c:pt>
                <c:pt idx="6">
                  <c:v>2016</c:v>
                </c:pt>
                <c:pt idx="7">
                  <c:v>2017</c:v>
                </c:pt>
              </c:numCache>
            </c:numRef>
          </c:cat>
          <c:val>
            <c:numRef>
              <c:f>Hárok1!$L$11:$S$11</c:f>
              <c:numCache>
                <c:formatCode>0</c:formatCode>
                <c:ptCount val="8"/>
                <c:pt idx="0">
                  <c:v>188480</c:v>
                </c:pt>
                <c:pt idx="1">
                  <c:v>204227.20000000001</c:v>
                </c:pt>
                <c:pt idx="2">
                  <c:v>225750.39999999999</c:v>
                </c:pt>
                <c:pt idx="3">
                  <c:v>223318.39999999999</c:v>
                </c:pt>
                <c:pt idx="4">
                  <c:v>139292.80000000002</c:v>
                </c:pt>
                <c:pt idx="5">
                  <c:v>253110.39999999999</c:v>
                </c:pt>
                <c:pt idx="6">
                  <c:v>244233.60000000003</c:v>
                </c:pt>
                <c:pt idx="7">
                  <c:v>297251.20000000001</c:v>
                </c:pt>
              </c:numCache>
            </c:numRef>
          </c:val>
          <c:smooth val="0"/>
          <c:extLst>
            <c:ext xmlns:c16="http://schemas.microsoft.com/office/drawing/2014/chart" uri="{C3380CC4-5D6E-409C-BE32-E72D297353CC}">
              <c16:uniqueId val="{0000000A-F9FB-4020-901C-B59F7ED2A22B}"/>
            </c:ext>
          </c:extLst>
        </c:ser>
        <c:ser>
          <c:idx val="3"/>
          <c:order val="3"/>
          <c:tx>
            <c:strRef>
              <c:f>Hárok1!$A$12:$K$12</c:f>
              <c:strCache>
                <c:ptCount val="11"/>
                <c:pt idx="0">
                  <c:v>Celoročná</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solidFill>
                    <a:latin typeface="+mn-lt"/>
                    <a:ea typeface="+mn-ea"/>
                    <a:cs typeface="+mn-cs"/>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4"/>
                </a:solidFill>
                <a:prstDash val="sysDot"/>
              </a:ln>
              <a:effectLst/>
            </c:spPr>
            <c:trendlineType val="linear"/>
            <c:dispRSqr val="0"/>
            <c:dispEq val="0"/>
          </c:trendline>
          <c:cat>
            <c:numRef>
              <c:f>Hárok1!$L$8:$S$8</c:f>
              <c:numCache>
                <c:formatCode>General</c:formatCode>
                <c:ptCount val="8"/>
                <c:pt idx="0">
                  <c:v>2010</c:v>
                </c:pt>
                <c:pt idx="1">
                  <c:v>2011</c:v>
                </c:pt>
                <c:pt idx="2">
                  <c:v>2012</c:v>
                </c:pt>
                <c:pt idx="3">
                  <c:v>2013</c:v>
                </c:pt>
                <c:pt idx="4">
                  <c:v>2014</c:v>
                </c:pt>
                <c:pt idx="5">
                  <c:v>2015</c:v>
                </c:pt>
                <c:pt idx="6">
                  <c:v>2016</c:v>
                </c:pt>
                <c:pt idx="7">
                  <c:v>2017</c:v>
                </c:pt>
              </c:numCache>
            </c:numRef>
          </c:cat>
          <c:val>
            <c:numRef>
              <c:f>Hárok1!$L$12:$S$12</c:f>
              <c:numCache>
                <c:formatCode>0</c:formatCode>
                <c:ptCount val="8"/>
                <c:pt idx="0">
                  <c:v>400159</c:v>
                </c:pt>
                <c:pt idx="1">
                  <c:v>446913.2</c:v>
                </c:pt>
                <c:pt idx="2">
                  <c:v>475737.4</c:v>
                </c:pt>
                <c:pt idx="3">
                  <c:v>483056.4</c:v>
                </c:pt>
                <c:pt idx="4">
                  <c:v>310779.80000000005</c:v>
                </c:pt>
                <c:pt idx="5">
                  <c:v>519672.4</c:v>
                </c:pt>
                <c:pt idx="6">
                  <c:v>509746.60000000003</c:v>
                </c:pt>
                <c:pt idx="7">
                  <c:v>621207.19999999995</c:v>
                </c:pt>
              </c:numCache>
            </c:numRef>
          </c:val>
          <c:smooth val="0"/>
          <c:extLst>
            <c:ext xmlns:c16="http://schemas.microsoft.com/office/drawing/2014/chart" uri="{C3380CC4-5D6E-409C-BE32-E72D297353CC}">
              <c16:uniqueId val="{0000000C-F9FB-4020-901C-B59F7ED2A22B}"/>
            </c:ext>
          </c:extLst>
        </c:ser>
        <c:dLbls>
          <c:dLblPos val="t"/>
          <c:showLegendKey val="0"/>
          <c:showVal val="1"/>
          <c:showCatName val="0"/>
          <c:showSerName val="0"/>
          <c:showPercent val="0"/>
          <c:showBubbleSize val="0"/>
        </c:dLbls>
        <c:marker val="1"/>
        <c:smooth val="0"/>
        <c:axId val="214362096"/>
        <c:axId val="214362488"/>
      </c:lineChart>
      <c:catAx>
        <c:axId val="21436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14362488"/>
        <c:crosses val="autoZero"/>
        <c:auto val="1"/>
        <c:lblAlgn val="ctr"/>
        <c:lblOffset val="100"/>
        <c:noMultiLvlLbl val="0"/>
      </c:catAx>
      <c:valAx>
        <c:axId val="214362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a:t>
                </a:r>
                <a:r>
                  <a:rPr lang="sk-SK"/>
                  <a:t>čet návštevníkov</a:t>
                </a:r>
              </a:p>
            </c:rich>
          </c:tx>
          <c:layout>
            <c:manualLayout>
              <c:xMode val="edge"/>
              <c:yMode val="edge"/>
              <c:x val="9.8619329388560158E-3"/>
              <c:y val="0.2865151118124219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k-SK"/>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14362096"/>
        <c:crosses val="autoZero"/>
        <c:crossBetween val="between"/>
      </c:valAx>
      <c:spPr>
        <a:noFill/>
        <a:ln>
          <a:noFill/>
        </a:ln>
        <a:effectLst/>
      </c:spPr>
    </c:plotArea>
    <c:legend>
      <c:legendPos val="b"/>
      <c:layout>
        <c:manualLayout>
          <c:xMode val="edge"/>
          <c:yMode val="edge"/>
          <c:x val="8.0626349221140259E-2"/>
          <c:y val="0.93142556690036493"/>
          <c:w val="0.838747146251689"/>
          <c:h val="6.13083134706992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sk-SK"/>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Hárok1!$L$36</c:f>
              <c:strCache>
                <c:ptCount val="1"/>
                <c:pt idx="0">
                  <c:v>2013</c:v>
                </c:pt>
              </c:strCache>
            </c:strRef>
          </c:tx>
          <c:spPr>
            <a:solidFill>
              <a:schemeClr val="accent1"/>
            </a:solidFill>
            <a:ln>
              <a:noFill/>
            </a:ln>
            <a:effectLst/>
          </c:spPr>
          <c:invertIfNegative val="0"/>
          <c:cat>
            <c:strRef>
              <c:f>Hárok1!$K$37:$K$48</c:f>
              <c:strCache>
                <c:ptCount val="12"/>
                <c:pt idx="0">
                  <c:v>Betlanovce</c:v>
                </c:pt>
                <c:pt idx="1">
                  <c:v>Hrabušice</c:v>
                </c:pt>
                <c:pt idx="2">
                  <c:v>Letanovce</c:v>
                </c:pt>
                <c:pt idx="3">
                  <c:v>Smižany</c:v>
                </c:pt>
                <c:pt idx="4">
                  <c:v>Spišská nová Ves</c:v>
                </c:pt>
                <c:pt idx="5">
                  <c:v>Spišské Tomášovce</c:v>
                </c:pt>
                <c:pt idx="6">
                  <c:v>Telgárt</c:v>
                </c:pt>
                <c:pt idx="7">
                  <c:v>Stratená</c:v>
                </c:pt>
                <c:pt idx="8">
                  <c:v>Dedinky</c:v>
                </c:pt>
                <c:pt idx="9">
                  <c:v>Mlynky</c:v>
                </c:pt>
                <c:pt idx="10">
                  <c:v>Dobšiná</c:v>
                </c:pt>
                <c:pt idx="11">
                  <c:v>Vernár</c:v>
                </c:pt>
              </c:strCache>
            </c:strRef>
          </c:cat>
          <c:val>
            <c:numRef>
              <c:f>Hárok1!$L$37:$L$48</c:f>
              <c:numCache>
                <c:formatCode>General</c:formatCode>
                <c:ptCount val="12"/>
                <c:pt idx="0">
                  <c:v>264</c:v>
                </c:pt>
                <c:pt idx="1">
                  <c:v>35406</c:v>
                </c:pt>
                <c:pt idx="2">
                  <c:v>544</c:v>
                </c:pt>
                <c:pt idx="3">
                  <c:v>26178</c:v>
                </c:pt>
                <c:pt idx="4">
                  <c:v>39399</c:v>
                </c:pt>
                <c:pt idx="5">
                  <c:v>4846</c:v>
                </c:pt>
                <c:pt idx="6">
                  <c:v>2671</c:v>
                </c:pt>
                <c:pt idx="7">
                  <c:v>1205</c:v>
                </c:pt>
                <c:pt idx="8">
                  <c:v>4992</c:v>
                </c:pt>
                <c:pt idx="9">
                  <c:v>1789</c:v>
                </c:pt>
                <c:pt idx="10">
                  <c:v>1995</c:v>
                </c:pt>
                <c:pt idx="11">
                  <c:v>5313</c:v>
                </c:pt>
              </c:numCache>
            </c:numRef>
          </c:val>
          <c:extLst>
            <c:ext xmlns:c16="http://schemas.microsoft.com/office/drawing/2014/chart" uri="{C3380CC4-5D6E-409C-BE32-E72D297353CC}">
              <c16:uniqueId val="{00000000-81F4-4C8B-A70A-BDBFF07385B2}"/>
            </c:ext>
          </c:extLst>
        </c:ser>
        <c:ser>
          <c:idx val="1"/>
          <c:order val="1"/>
          <c:tx>
            <c:strRef>
              <c:f>Hárok1!$M$36</c:f>
              <c:strCache>
                <c:ptCount val="1"/>
                <c:pt idx="0">
                  <c:v>2014</c:v>
                </c:pt>
              </c:strCache>
            </c:strRef>
          </c:tx>
          <c:spPr>
            <a:solidFill>
              <a:schemeClr val="accent2"/>
            </a:solidFill>
            <a:ln>
              <a:noFill/>
            </a:ln>
            <a:effectLst/>
          </c:spPr>
          <c:invertIfNegative val="0"/>
          <c:cat>
            <c:strRef>
              <c:f>Hárok1!$K$37:$K$48</c:f>
              <c:strCache>
                <c:ptCount val="12"/>
                <c:pt idx="0">
                  <c:v>Betlanovce</c:v>
                </c:pt>
                <c:pt idx="1">
                  <c:v>Hrabušice</c:v>
                </c:pt>
                <c:pt idx="2">
                  <c:v>Letanovce</c:v>
                </c:pt>
                <c:pt idx="3">
                  <c:v>Smižany</c:v>
                </c:pt>
                <c:pt idx="4">
                  <c:v>Spišská nová Ves</c:v>
                </c:pt>
                <c:pt idx="5">
                  <c:v>Spišské Tomášovce</c:v>
                </c:pt>
                <c:pt idx="6">
                  <c:v>Telgárt</c:v>
                </c:pt>
                <c:pt idx="7">
                  <c:v>Stratená</c:v>
                </c:pt>
                <c:pt idx="8">
                  <c:v>Dedinky</c:v>
                </c:pt>
                <c:pt idx="9">
                  <c:v>Mlynky</c:v>
                </c:pt>
                <c:pt idx="10">
                  <c:v>Dobšiná</c:v>
                </c:pt>
                <c:pt idx="11">
                  <c:v>Vernár</c:v>
                </c:pt>
              </c:strCache>
            </c:strRef>
          </c:cat>
          <c:val>
            <c:numRef>
              <c:f>Hárok1!$M$37:$M$48</c:f>
              <c:numCache>
                <c:formatCode>General</c:formatCode>
                <c:ptCount val="12"/>
                <c:pt idx="0">
                  <c:v>367</c:v>
                </c:pt>
                <c:pt idx="1">
                  <c:v>33967</c:v>
                </c:pt>
                <c:pt idx="2">
                  <c:v>742</c:v>
                </c:pt>
                <c:pt idx="3">
                  <c:v>24876</c:v>
                </c:pt>
                <c:pt idx="4">
                  <c:v>37745</c:v>
                </c:pt>
                <c:pt idx="5">
                  <c:v>7046</c:v>
                </c:pt>
                <c:pt idx="6">
                  <c:v>3747</c:v>
                </c:pt>
                <c:pt idx="7">
                  <c:v>975</c:v>
                </c:pt>
                <c:pt idx="8">
                  <c:v>7850</c:v>
                </c:pt>
                <c:pt idx="9">
                  <c:v>2737</c:v>
                </c:pt>
                <c:pt idx="10">
                  <c:v>3493</c:v>
                </c:pt>
                <c:pt idx="11">
                  <c:v>3210</c:v>
                </c:pt>
              </c:numCache>
            </c:numRef>
          </c:val>
          <c:extLst>
            <c:ext xmlns:c16="http://schemas.microsoft.com/office/drawing/2014/chart" uri="{C3380CC4-5D6E-409C-BE32-E72D297353CC}">
              <c16:uniqueId val="{00000001-81F4-4C8B-A70A-BDBFF07385B2}"/>
            </c:ext>
          </c:extLst>
        </c:ser>
        <c:ser>
          <c:idx val="2"/>
          <c:order val="2"/>
          <c:tx>
            <c:strRef>
              <c:f>Hárok1!$N$36</c:f>
              <c:strCache>
                <c:ptCount val="1"/>
                <c:pt idx="0">
                  <c:v>2015</c:v>
                </c:pt>
              </c:strCache>
            </c:strRef>
          </c:tx>
          <c:spPr>
            <a:solidFill>
              <a:schemeClr val="accent3"/>
            </a:solidFill>
            <a:ln>
              <a:noFill/>
            </a:ln>
            <a:effectLst/>
          </c:spPr>
          <c:invertIfNegative val="0"/>
          <c:cat>
            <c:strRef>
              <c:f>Hárok1!$K$37:$K$48</c:f>
              <c:strCache>
                <c:ptCount val="12"/>
                <c:pt idx="0">
                  <c:v>Betlanovce</c:v>
                </c:pt>
                <c:pt idx="1">
                  <c:v>Hrabušice</c:v>
                </c:pt>
                <c:pt idx="2">
                  <c:v>Letanovce</c:v>
                </c:pt>
                <c:pt idx="3">
                  <c:v>Smižany</c:v>
                </c:pt>
                <c:pt idx="4">
                  <c:v>Spišská nová Ves</c:v>
                </c:pt>
                <c:pt idx="5">
                  <c:v>Spišské Tomášovce</c:v>
                </c:pt>
                <c:pt idx="6">
                  <c:v>Telgárt</c:v>
                </c:pt>
                <c:pt idx="7">
                  <c:v>Stratená</c:v>
                </c:pt>
                <c:pt idx="8">
                  <c:v>Dedinky</c:v>
                </c:pt>
                <c:pt idx="9">
                  <c:v>Mlynky</c:v>
                </c:pt>
                <c:pt idx="10">
                  <c:v>Dobšiná</c:v>
                </c:pt>
                <c:pt idx="11">
                  <c:v>Vernár</c:v>
                </c:pt>
              </c:strCache>
            </c:strRef>
          </c:cat>
          <c:val>
            <c:numRef>
              <c:f>Hárok1!$N$37:$N$48</c:f>
              <c:numCache>
                <c:formatCode>General</c:formatCode>
                <c:ptCount val="12"/>
                <c:pt idx="0">
                  <c:v>417</c:v>
                </c:pt>
                <c:pt idx="1">
                  <c:v>36848</c:v>
                </c:pt>
                <c:pt idx="2">
                  <c:v>597</c:v>
                </c:pt>
                <c:pt idx="3">
                  <c:v>28336</c:v>
                </c:pt>
                <c:pt idx="4">
                  <c:v>40373</c:v>
                </c:pt>
                <c:pt idx="5">
                  <c:v>4335</c:v>
                </c:pt>
                <c:pt idx="6">
                  <c:v>4903</c:v>
                </c:pt>
                <c:pt idx="7">
                  <c:v>1075</c:v>
                </c:pt>
                <c:pt idx="8">
                  <c:v>6200</c:v>
                </c:pt>
                <c:pt idx="9">
                  <c:v>3136</c:v>
                </c:pt>
                <c:pt idx="10">
                  <c:v>3829</c:v>
                </c:pt>
                <c:pt idx="11">
                  <c:v>1659</c:v>
                </c:pt>
              </c:numCache>
            </c:numRef>
          </c:val>
          <c:extLst>
            <c:ext xmlns:c16="http://schemas.microsoft.com/office/drawing/2014/chart" uri="{C3380CC4-5D6E-409C-BE32-E72D297353CC}">
              <c16:uniqueId val="{00000002-81F4-4C8B-A70A-BDBFF07385B2}"/>
            </c:ext>
          </c:extLst>
        </c:ser>
        <c:ser>
          <c:idx val="3"/>
          <c:order val="3"/>
          <c:tx>
            <c:strRef>
              <c:f>Hárok1!$O$36</c:f>
              <c:strCache>
                <c:ptCount val="1"/>
                <c:pt idx="0">
                  <c:v>2016</c:v>
                </c:pt>
              </c:strCache>
            </c:strRef>
          </c:tx>
          <c:spPr>
            <a:solidFill>
              <a:schemeClr val="accent4"/>
            </a:solidFill>
            <a:ln>
              <a:noFill/>
            </a:ln>
            <a:effectLst/>
          </c:spPr>
          <c:invertIfNegative val="0"/>
          <c:cat>
            <c:strRef>
              <c:f>Hárok1!$K$37:$K$48</c:f>
              <c:strCache>
                <c:ptCount val="12"/>
                <c:pt idx="0">
                  <c:v>Betlanovce</c:v>
                </c:pt>
                <c:pt idx="1">
                  <c:v>Hrabušice</c:v>
                </c:pt>
                <c:pt idx="2">
                  <c:v>Letanovce</c:v>
                </c:pt>
                <c:pt idx="3">
                  <c:v>Smižany</c:v>
                </c:pt>
                <c:pt idx="4">
                  <c:v>Spišská nová Ves</c:v>
                </c:pt>
                <c:pt idx="5">
                  <c:v>Spišské Tomášovce</c:v>
                </c:pt>
                <c:pt idx="6">
                  <c:v>Telgárt</c:v>
                </c:pt>
                <c:pt idx="7">
                  <c:v>Stratená</c:v>
                </c:pt>
                <c:pt idx="8">
                  <c:v>Dedinky</c:v>
                </c:pt>
                <c:pt idx="9">
                  <c:v>Mlynky</c:v>
                </c:pt>
                <c:pt idx="10">
                  <c:v>Dobšiná</c:v>
                </c:pt>
                <c:pt idx="11">
                  <c:v>Vernár</c:v>
                </c:pt>
              </c:strCache>
            </c:strRef>
          </c:cat>
          <c:val>
            <c:numRef>
              <c:f>Hárok1!$O$37:$O$48</c:f>
              <c:numCache>
                <c:formatCode>General</c:formatCode>
                <c:ptCount val="12"/>
                <c:pt idx="0">
                  <c:v>182</c:v>
                </c:pt>
                <c:pt idx="1">
                  <c:v>31188</c:v>
                </c:pt>
                <c:pt idx="2">
                  <c:v>341</c:v>
                </c:pt>
                <c:pt idx="3">
                  <c:v>27090</c:v>
                </c:pt>
                <c:pt idx="4">
                  <c:v>37476</c:v>
                </c:pt>
                <c:pt idx="5">
                  <c:v>4840</c:v>
                </c:pt>
                <c:pt idx="6">
                  <c:v>7035</c:v>
                </c:pt>
                <c:pt idx="7">
                  <c:v>865</c:v>
                </c:pt>
                <c:pt idx="8">
                  <c:v>9200</c:v>
                </c:pt>
                <c:pt idx="9">
                  <c:v>3347</c:v>
                </c:pt>
                <c:pt idx="10">
                  <c:v>2375</c:v>
                </c:pt>
                <c:pt idx="11">
                  <c:v>1548</c:v>
                </c:pt>
              </c:numCache>
            </c:numRef>
          </c:val>
          <c:extLst>
            <c:ext xmlns:c16="http://schemas.microsoft.com/office/drawing/2014/chart" uri="{C3380CC4-5D6E-409C-BE32-E72D297353CC}">
              <c16:uniqueId val="{00000003-81F4-4C8B-A70A-BDBFF07385B2}"/>
            </c:ext>
          </c:extLst>
        </c:ser>
        <c:ser>
          <c:idx val="4"/>
          <c:order val="4"/>
          <c:tx>
            <c:strRef>
              <c:f>Hárok1!$P$36</c:f>
              <c:strCache>
                <c:ptCount val="1"/>
                <c:pt idx="0">
                  <c:v>2017</c:v>
                </c:pt>
              </c:strCache>
            </c:strRef>
          </c:tx>
          <c:spPr>
            <a:solidFill>
              <a:schemeClr val="accent5"/>
            </a:solidFill>
            <a:ln>
              <a:noFill/>
            </a:ln>
            <a:effectLst/>
          </c:spPr>
          <c:invertIfNegative val="0"/>
          <c:cat>
            <c:strRef>
              <c:f>Hárok1!$K$37:$K$48</c:f>
              <c:strCache>
                <c:ptCount val="12"/>
                <c:pt idx="0">
                  <c:v>Betlanovce</c:v>
                </c:pt>
                <c:pt idx="1">
                  <c:v>Hrabušice</c:v>
                </c:pt>
                <c:pt idx="2">
                  <c:v>Letanovce</c:v>
                </c:pt>
                <c:pt idx="3">
                  <c:v>Smižany</c:v>
                </c:pt>
                <c:pt idx="4">
                  <c:v>Spišská nová Ves</c:v>
                </c:pt>
                <c:pt idx="5">
                  <c:v>Spišské Tomášovce</c:v>
                </c:pt>
                <c:pt idx="6">
                  <c:v>Telgárt</c:v>
                </c:pt>
                <c:pt idx="7">
                  <c:v>Stratená</c:v>
                </c:pt>
                <c:pt idx="8">
                  <c:v>Dedinky</c:v>
                </c:pt>
                <c:pt idx="9">
                  <c:v>Mlynky</c:v>
                </c:pt>
                <c:pt idx="10">
                  <c:v>Dobšiná</c:v>
                </c:pt>
                <c:pt idx="11">
                  <c:v>Vernár</c:v>
                </c:pt>
              </c:strCache>
            </c:strRef>
          </c:cat>
          <c:val>
            <c:numRef>
              <c:f>Hárok1!$P$37:$P$48</c:f>
              <c:numCache>
                <c:formatCode>General</c:formatCode>
                <c:ptCount val="12"/>
                <c:pt idx="0">
                  <c:v>377</c:v>
                </c:pt>
                <c:pt idx="1">
                  <c:v>34530</c:v>
                </c:pt>
                <c:pt idx="2">
                  <c:v>34</c:v>
                </c:pt>
                <c:pt idx="3">
                  <c:v>29993</c:v>
                </c:pt>
                <c:pt idx="4">
                  <c:v>44586</c:v>
                </c:pt>
                <c:pt idx="5">
                  <c:v>7908</c:v>
                </c:pt>
                <c:pt idx="6">
                  <c:v>12395</c:v>
                </c:pt>
                <c:pt idx="7">
                  <c:v>602</c:v>
                </c:pt>
                <c:pt idx="8">
                  <c:v>6030</c:v>
                </c:pt>
                <c:pt idx="9">
                  <c:v>5357</c:v>
                </c:pt>
                <c:pt idx="10">
                  <c:v>3204</c:v>
                </c:pt>
                <c:pt idx="11">
                  <c:v>3420</c:v>
                </c:pt>
              </c:numCache>
            </c:numRef>
          </c:val>
          <c:extLst>
            <c:ext xmlns:c16="http://schemas.microsoft.com/office/drawing/2014/chart" uri="{C3380CC4-5D6E-409C-BE32-E72D297353CC}">
              <c16:uniqueId val="{00000004-81F4-4C8B-A70A-BDBFF07385B2}"/>
            </c:ext>
          </c:extLst>
        </c:ser>
        <c:dLbls>
          <c:showLegendKey val="0"/>
          <c:showVal val="0"/>
          <c:showCatName val="0"/>
          <c:showSerName val="0"/>
          <c:showPercent val="0"/>
          <c:showBubbleSize val="0"/>
        </c:dLbls>
        <c:gapWidth val="219"/>
        <c:overlap val="-27"/>
        <c:axId val="297819936"/>
        <c:axId val="308192880"/>
      </c:barChart>
      <c:catAx>
        <c:axId val="29781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308192880"/>
        <c:crosses val="autoZero"/>
        <c:auto val="1"/>
        <c:lblAlgn val="ctr"/>
        <c:lblOffset val="100"/>
        <c:noMultiLvlLbl val="0"/>
      </c:catAx>
      <c:valAx>
        <c:axId val="308192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Počet</a:t>
                </a:r>
                <a:r>
                  <a:rPr lang="sk-SK" baseline="0"/>
                  <a:t> prenocovaní návštevníkov</a:t>
                </a:r>
                <a:endParaRPr lang="sk-SK"/>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k-SK"/>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97819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sk-S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48381452318461"/>
          <c:y val="6.504062958817311E-2"/>
          <c:w val="0.80596062992125983"/>
          <c:h val="0.76799444081862855"/>
        </c:manualLayout>
      </c:layout>
      <c:lineChart>
        <c:grouping val="standard"/>
        <c:varyColors val="0"/>
        <c:ser>
          <c:idx val="0"/>
          <c:order val="0"/>
          <c:tx>
            <c:strRef>
              <c:f>Hárok1!$A$25</c:f>
              <c:strCache>
                <c:ptCount val="1"/>
                <c:pt idx="0">
                  <c:v>južná časť</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Hárok1!$B$24:$D$24</c:f>
              <c:numCache>
                <c:formatCode>General</c:formatCode>
                <c:ptCount val="3"/>
                <c:pt idx="0">
                  <c:v>2008</c:v>
                </c:pt>
                <c:pt idx="1">
                  <c:v>2012</c:v>
                </c:pt>
                <c:pt idx="2">
                  <c:v>2016</c:v>
                </c:pt>
              </c:numCache>
            </c:numRef>
          </c:cat>
          <c:val>
            <c:numRef>
              <c:f>Hárok1!$B$25:$D$25</c:f>
              <c:numCache>
                <c:formatCode>General</c:formatCode>
                <c:ptCount val="3"/>
                <c:pt idx="0">
                  <c:v>9308</c:v>
                </c:pt>
                <c:pt idx="1">
                  <c:v>9242</c:v>
                </c:pt>
                <c:pt idx="2">
                  <c:v>8802</c:v>
                </c:pt>
              </c:numCache>
            </c:numRef>
          </c:val>
          <c:smooth val="0"/>
          <c:extLst>
            <c:ext xmlns:c16="http://schemas.microsoft.com/office/drawing/2014/chart" uri="{C3380CC4-5D6E-409C-BE32-E72D297353CC}">
              <c16:uniqueId val="{00000000-A0D2-43BE-A8F1-461A207BE8D6}"/>
            </c:ext>
          </c:extLst>
        </c:ser>
        <c:ser>
          <c:idx val="1"/>
          <c:order val="1"/>
          <c:tx>
            <c:strRef>
              <c:f>Hárok1!$A$26</c:f>
              <c:strCache>
                <c:ptCount val="1"/>
                <c:pt idx="0">
                  <c:v>severná časť</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Hárok1!$B$24:$D$24</c:f>
              <c:numCache>
                <c:formatCode>General</c:formatCode>
                <c:ptCount val="3"/>
                <c:pt idx="0">
                  <c:v>2008</c:v>
                </c:pt>
                <c:pt idx="1">
                  <c:v>2012</c:v>
                </c:pt>
                <c:pt idx="2">
                  <c:v>2016</c:v>
                </c:pt>
              </c:numCache>
            </c:numRef>
          </c:cat>
          <c:val>
            <c:numRef>
              <c:f>Hárok1!$B$26:$D$26</c:f>
              <c:numCache>
                <c:formatCode>General</c:formatCode>
                <c:ptCount val="3"/>
                <c:pt idx="0">
                  <c:v>24366</c:v>
                </c:pt>
                <c:pt idx="1">
                  <c:v>25639</c:v>
                </c:pt>
                <c:pt idx="2">
                  <c:v>26715</c:v>
                </c:pt>
              </c:numCache>
            </c:numRef>
          </c:val>
          <c:smooth val="0"/>
          <c:extLst>
            <c:ext xmlns:c16="http://schemas.microsoft.com/office/drawing/2014/chart" uri="{C3380CC4-5D6E-409C-BE32-E72D297353CC}">
              <c16:uniqueId val="{00000001-A0D2-43BE-A8F1-461A207BE8D6}"/>
            </c:ext>
          </c:extLst>
        </c:ser>
        <c:dLbls>
          <c:showLegendKey val="0"/>
          <c:showVal val="0"/>
          <c:showCatName val="0"/>
          <c:showSerName val="0"/>
          <c:showPercent val="0"/>
          <c:showBubbleSize val="0"/>
        </c:dLbls>
        <c:marker val="1"/>
        <c:smooth val="0"/>
        <c:axId val="230139160"/>
        <c:axId val="230139552"/>
      </c:lineChart>
      <c:catAx>
        <c:axId val="230139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30139552"/>
        <c:crosses val="autoZero"/>
        <c:auto val="1"/>
        <c:lblAlgn val="ctr"/>
        <c:lblOffset val="100"/>
        <c:noMultiLvlLbl val="0"/>
      </c:catAx>
      <c:valAx>
        <c:axId val="230139552"/>
        <c:scaling>
          <c:orientation val="minMax"/>
          <c:max val="28000"/>
          <c:min val="8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b="1"/>
                  <a:t>Počet</a:t>
                </a:r>
                <a:r>
                  <a:rPr lang="sk-SK" b="1" baseline="0"/>
                  <a:t> obyvateľov</a:t>
                </a:r>
                <a:endParaRPr lang="sk-SK"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k-SK"/>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30139160"/>
        <c:crosses val="autoZero"/>
        <c:crossBetween val="between"/>
        <c:majorUnit val="2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sk-S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22681228313953017"/>
          <c:y val="6.0015310586176741E-2"/>
          <c:w val="0.56802743310336978"/>
          <c:h val="0.63705854476523771"/>
        </c:manualLayout>
      </c:layout>
      <c:pieChart>
        <c:varyColors val="1"/>
        <c:ser>
          <c:idx val="0"/>
          <c:order val="0"/>
          <c:dPt>
            <c:idx val="0"/>
            <c:bubble3D val="0"/>
            <c:spPr>
              <a:solidFill>
                <a:schemeClr val="accent5">
                  <a:tint val="65000"/>
                </a:schemeClr>
              </a:solidFill>
              <a:ln w="19050">
                <a:solidFill>
                  <a:schemeClr val="lt1"/>
                </a:solidFill>
              </a:ln>
              <a:effectLst/>
            </c:spPr>
            <c:extLst>
              <c:ext xmlns:c16="http://schemas.microsoft.com/office/drawing/2014/chart" uri="{C3380CC4-5D6E-409C-BE32-E72D297353CC}">
                <c16:uniqueId val="{00000001-13D5-44D9-9522-C4D29F0E2ECD}"/>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13D5-44D9-9522-C4D29F0E2ECD}"/>
              </c:ext>
            </c:extLst>
          </c:dPt>
          <c:dPt>
            <c:idx val="2"/>
            <c:bubble3D val="0"/>
            <c:spPr>
              <a:solidFill>
                <a:schemeClr val="accent5">
                  <a:shade val="65000"/>
                </a:schemeClr>
              </a:solidFill>
              <a:ln w="19050">
                <a:solidFill>
                  <a:schemeClr val="lt1"/>
                </a:solidFill>
              </a:ln>
              <a:effectLst/>
            </c:spPr>
            <c:extLst>
              <c:ext xmlns:c16="http://schemas.microsoft.com/office/drawing/2014/chart" uri="{C3380CC4-5D6E-409C-BE32-E72D297353CC}">
                <c16:uniqueId val="{00000005-13D5-44D9-9522-C4D29F0E2EC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Hárok1!$A$30:$A$32</c:f>
              <c:strCache>
                <c:ptCount val="3"/>
                <c:pt idx="0">
                  <c:v>Predproduktívny vek - (0 - 14)</c:v>
                </c:pt>
                <c:pt idx="1">
                  <c:v>Produktívny vek - (15 - 64)</c:v>
                </c:pt>
                <c:pt idx="2">
                  <c:v>Poproduktívny vek – (65 - 100+)</c:v>
                </c:pt>
              </c:strCache>
            </c:strRef>
          </c:cat>
          <c:val>
            <c:numRef>
              <c:f>Hárok1!$B$30:$B$32</c:f>
              <c:numCache>
                <c:formatCode>0%</c:formatCode>
                <c:ptCount val="3"/>
                <c:pt idx="0">
                  <c:v>0.22354482500467901</c:v>
                </c:pt>
                <c:pt idx="1">
                  <c:v>0.67512633352049412</c:v>
                </c:pt>
                <c:pt idx="2">
                  <c:v>0.10132884147482688</c:v>
                </c:pt>
              </c:numCache>
            </c:numRef>
          </c:val>
          <c:extLst>
            <c:ext xmlns:c16="http://schemas.microsoft.com/office/drawing/2014/chart" uri="{C3380CC4-5D6E-409C-BE32-E72D297353CC}">
              <c16:uniqueId val="{00000006-13D5-44D9-9522-C4D29F0E2EC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sk-SK"/>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24171339968642533"/>
          <c:y val="1.1108697619694088E-2"/>
          <c:w val="0.61366646841619221"/>
          <c:h val="0.64243219597550294"/>
        </c:manualLayout>
      </c:layout>
      <c:pieChart>
        <c:varyColors val="1"/>
        <c:ser>
          <c:idx val="0"/>
          <c:order val="0"/>
          <c:dPt>
            <c:idx val="0"/>
            <c:bubble3D val="0"/>
            <c:spPr>
              <a:solidFill>
                <a:schemeClr val="accent5">
                  <a:tint val="65000"/>
                </a:schemeClr>
              </a:solidFill>
              <a:ln w="19050">
                <a:solidFill>
                  <a:schemeClr val="lt1"/>
                </a:solidFill>
              </a:ln>
              <a:effectLst/>
            </c:spPr>
            <c:extLst>
              <c:ext xmlns:c16="http://schemas.microsoft.com/office/drawing/2014/chart" uri="{C3380CC4-5D6E-409C-BE32-E72D297353CC}">
                <c16:uniqueId val="{00000001-73D9-46E5-8295-F7A0A8B57CF0}"/>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73D9-46E5-8295-F7A0A8B57CF0}"/>
              </c:ext>
            </c:extLst>
          </c:dPt>
          <c:dPt>
            <c:idx val="2"/>
            <c:bubble3D val="0"/>
            <c:spPr>
              <a:solidFill>
                <a:schemeClr val="accent5">
                  <a:shade val="65000"/>
                </a:schemeClr>
              </a:solidFill>
              <a:ln w="19050">
                <a:solidFill>
                  <a:schemeClr val="lt1"/>
                </a:solidFill>
              </a:ln>
              <a:effectLst/>
            </c:spPr>
            <c:extLst>
              <c:ext xmlns:c16="http://schemas.microsoft.com/office/drawing/2014/chart" uri="{C3380CC4-5D6E-409C-BE32-E72D297353CC}">
                <c16:uniqueId val="{00000005-73D9-46E5-8295-F7A0A8B57CF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Hárok1!$A$37:$A$39</c:f>
              <c:strCache>
                <c:ptCount val="3"/>
                <c:pt idx="0">
                  <c:v>Predproduktívny vek - (0 - 14)</c:v>
                </c:pt>
                <c:pt idx="1">
                  <c:v>Produktívny vek - (15 - 64)</c:v>
                </c:pt>
                <c:pt idx="2">
                  <c:v>Poproduktívny vek – (65 - 100+)</c:v>
                </c:pt>
              </c:strCache>
            </c:strRef>
          </c:cat>
          <c:val>
            <c:numRef>
              <c:f>Hárok1!$B$37:$B$39</c:f>
              <c:numCache>
                <c:formatCode>0%</c:formatCode>
                <c:ptCount val="3"/>
                <c:pt idx="0">
                  <c:v>0.2178656665530174</c:v>
                </c:pt>
                <c:pt idx="1">
                  <c:v>0.6620070462552563</c:v>
                </c:pt>
                <c:pt idx="2">
                  <c:v>0.12012728719172633</c:v>
                </c:pt>
              </c:numCache>
            </c:numRef>
          </c:val>
          <c:extLst>
            <c:ext xmlns:c16="http://schemas.microsoft.com/office/drawing/2014/chart" uri="{C3380CC4-5D6E-409C-BE32-E72D297353CC}">
              <c16:uniqueId val="{00000006-73D9-46E5-8295-F7A0A8B57CF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sk-SK"/>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5949256342957"/>
          <c:y val="5.5555555555555552E-2"/>
          <c:w val="0.85862729658792647"/>
          <c:h val="0.73577136191309422"/>
        </c:manualLayout>
      </c:layout>
      <c:lineChart>
        <c:grouping val="standard"/>
        <c:varyColors val="0"/>
        <c:ser>
          <c:idx val="0"/>
          <c:order val="0"/>
          <c:tx>
            <c:strRef>
              <c:f>'index starnutiaa'!$A$22</c:f>
              <c:strCache>
                <c:ptCount val="1"/>
                <c:pt idx="0">
                  <c:v>Severná časť</c:v>
                </c:pt>
              </c:strCache>
            </c:strRef>
          </c:tx>
          <c:spPr>
            <a:ln w="28575" cap="rnd">
              <a:solidFill>
                <a:schemeClr val="accent2">
                  <a:lumMod val="75000"/>
                </a:schemeClr>
              </a:solidFill>
              <a:round/>
            </a:ln>
            <a:effectLst/>
          </c:spPr>
          <c:marker>
            <c:symbol val="circle"/>
            <c:size val="5"/>
            <c:spPr>
              <a:solidFill>
                <a:schemeClr val="accent2">
                  <a:lumMod val="75000"/>
                </a:schemeClr>
              </a:solidFill>
              <a:ln w="9525">
                <a:solidFill>
                  <a:schemeClr val="accent2">
                    <a:lumMod val="75000"/>
                  </a:schemeClr>
                </a:solidFill>
              </a:ln>
              <a:effectLst/>
            </c:spPr>
          </c:marker>
          <c:dLbls>
            <c:dLbl>
              <c:idx val="0"/>
              <c:layout>
                <c:manualLayout>
                  <c:x val="-4.9284776902887142E-2"/>
                  <c:y val="-4.85764800233304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99-4B17-A696-417654BDF094}"/>
                </c:ext>
              </c:extLst>
            </c:dLbl>
            <c:dLbl>
              <c:idx val="1"/>
              <c:layout>
                <c:manualLayout>
                  <c:x val="-4.9284776902887191E-2"/>
                  <c:y val="4.40161125692621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99-4B17-A696-417654BDF094}"/>
                </c:ext>
              </c:extLst>
            </c:dLbl>
            <c:dLbl>
              <c:idx val="2"/>
              <c:layout>
                <c:manualLayout>
                  <c:x val="-4.3729221347331586E-2"/>
                  <c:y val="4.86457421988918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99-4B17-A696-417654BDF094}"/>
                </c:ext>
              </c:extLst>
            </c:dLbl>
            <c:dLbl>
              <c:idx val="3"/>
              <c:layout>
                <c:manualLayout>
                  <c:x val="-5.2062554680664917E-2"/>
                  <c:y val="3.93864829396326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99-4B17-A696-417654BDF094}"/>
                </c:ext>
              </c:extLst>
            </c:dLbl>
            <c:dLbl>
              <c:idx val="4"/>
              <c:layout>
                <c:manualLayout>
                  <c:x val="-4.6506999125109465E-2"/>
                  <c:y val="3.93864829396324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99-4B17-A696-417654BDF09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'index starnutiaa'!$B$21:$F$21</c:f>
              <c:numCache>
                <c:formatCode>General</c:formatCode>
                <c:ptCount val="5"/>
                <c:pt idx="0">
                  <c:v>1996</c:v>
                </c:pt>
                <c:pt idx="1">
                  <c:v>2000</c:v>
                </c:pt>
                <c:pt idx="2">
                  <c:v>2005</c:v>
                </c:pt>
                <c:pt idx="3">
                  <c:v>2010</c:v>
                </c:pt>
                <c:pt idx="4">
                  <c:v>2016</c:v>
                </c:pt>
              </c:numCache>
            </c:numRef>
          </c:cat>
          <c:val>
            <c:numRef>
              <c:f>'index starnutiaa'!$B$22:$F$22</c:f>
              <c:numCache>
                <c:formatCode>0.00</c:formatCode>
                <c:ptCount val="5"/>
                <c:pt idx="0">
                  <c:v>38.470000000000006</c:v>
                </c:pt>
                <c:pt idx="1">
                  <c:v>43.668999999999997</c:v>
                </c:pt>
                <c:pt idx="2">
                  <c:v>45.174999999999997</c:v>
                </c:pt>
                <c:pt idx="3">
                  <c:v>48.403999999999996</c:v>
                </c:pt>
                <c:pt idx="4">
                  <c:v>55.42</c:v>
                </c:pt>
              </c:numCache>
            </c:numRef>
          </c:val>
          <c:smooth val="0"/>
          <c:extLst>
            <c:ext xmlns:c16="http://schemas.microsoft.com/office/drawing/2014/chart" uri="{C3380CC4-5D6E-409C-BE32-E72D297353CC}">
              <c16:uniqueId val="{00000005-2499-4B17-A696-417654BDF094}"/>
            </c:ext>
          </c:extLst>
        </c:ser>
        <c:ser>
          <c:idx val="1"/>
          <c:order val="1"/>
          <c:tx>
            <c:strRef>
              <c:f>'index starnutiaa'!$A$23</c:f>
              <c:strCache>
                <c:ptCount val="1"/>
                <c:pt idx="0">
                  <c:v>Južná časť</c:v>
                </c:pt>
              </c:strCache>
            </c:strRef>
          </c:tx>
          <c:spPr>
            <a:ln w="28575" cap="rnd">
              <a:solidFill>
                <a:schemeClr val="accent1">
                  <a:lumMod val="75000"/>
                </a:schemeClr>
              </a:solidFill>
              <a:round/>
            </a:ln>
            <a:effectLst/>
          </c:spPr>
          <c:marker>
            <c:symbol val="circle"/>
            <c:size val="5"/>
            <c:spPr>
              <a:solidFill>
                <a:schemeClr val="accent1">
                  <a:lumMod val="75000"/>
                </a:schemeClr>
              </a:solidFill>
              <a:ln w="9525">
                <a:solidFill>
                  <a:schemeClr val="accent1">
                    <a:lumMod val="75000"/>
                  </a:schemeClr>
                </a:solidFill>
              </a:ln>
              <a:effectLst/>
            </c:spPr>
          </c:marker>
          <c:dLbls>
            <c:dLbl>
              <c:idx val="4"/>
              <c:layout>
                <c:manualLayout>
                  <c:x val="-5.8395888013998247E-2"/>
                  <c:y val="-4.85764800233304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499-4B17-A696-417654BDF09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'index starnutiaa'!$B$21:$F$21</c:f>
              <c:numCache>
                <c:formatCode>General</c:formatCode>
                <c:ptCount val="5"/>
                <c:pt idx="0">
                  <c:v>1996</c:v>
                </c:pt>
                <c:pt idx="1">
                  <c:v>2000</c:v>
                </c:pt>
                <c:pt idx="2">
                  <c:v>2005</c:v>
                </c:pt>
                <c:pt idx="3">
                  <c:v>2010</c:v>
                </c:pt>
                <c:pt idx="4">
                  <c:v>2016</c:v>
                </c:pt>
              </c:numCache>
            </c:numRef>
          </c:cat>
          <c:val>
            <c:numRef>
              <c:f>'index starnutiaa'!$B$23:$F$23</c:f>
              <c:numCache>
                <c:formatCode>0.00</c:formatCode>
                <c:ptCount val="5"/>
                <c:pt idx="0">
                  <c:v>71.222857142857151</c:v>
                </c:pt>
                <c:pt idx="1">
                  <c:v>86.908571428571449</c:v>
                </c:pt>
                <c:pt idx="2">
                  <c:v>94.174285714285716</c:v>
                </c:pt>
                <c:pt idx="3">
                  <c:v>131.08142857142857</c:v>
                </c:pt>
                <c:pt idx="4">
                  <c:v>214.75285714285715</c:v>
                </c:pt>
              </c:numCache>
            </c:numRef>
          </c:val>
          <c:smooth val="0"/>
          <c:extLst>
            <c:ext xmlns:c16="http://schemas.microsoft.com/office/drawing/2014/chart" uri="{C3380CC4-5D6E-409C-BE32-E72D297353CC}">
              <c16:uniqueId val="{00000007-2499-4B17-A696-417654BDF094}"/>
            </c:ext>
          </c:extLst>
        </c:ser>
        <c:ser>
          <c:idx val="2"/>
          <c:order val="2"/>
          <c:tx>
            <c:strRef>
              <c:f>'index starnutiaa'!$A$24</c:f>
              <c:strCache>
                <c:ptCount val="1"/>
                <c:pt idx="0">
                  <c:v>Spišská Nová Ves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5.2062554680664917E-2"/>
                  <c:y val="3.93864829396326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499-4B17-A696-417654BDF094}"/>
                </c:ext>
              </c:extLst>
            </c:dLbl>
            <c:dLbl>
              <c:idx val="1"/>
              <c:layout>
                <c:manualLayout>
                  <c:x val="-6.0395888013998304E-2"/>
                  <c:y val="-4.85764800233305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499-4B17-A696-417654BDF094}"/>
                </c:ext>
              </c:extLst>
            </c:dLbl>
            <c:dLbl>
              <c:idx val="2"/>
              <c:layout>
                <c:manualLayout>
                  <c:x val="-5.2062554680665021E-2"/>
                  <c:y val="-4.85764800233304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499-4B17-A696-417654BDF09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'index starnutiaa'!$B$21:$F$21</c:f>
              <c:numCache>
                <c:formatCode>General</c:formatCode>
                <c:ptCount val="5"/>
                <c:pt idx="0">
                  <c:v>1996</c:v>
                </c:pt>
                <c:pt idx="1">
                  <c:v>2000</c:v>
                </c:pt>
                <c:pt idx="2">
                  <c:v>2005</c:v>
                </c:pt>
                <c:pt idx="3">
                  <c:v>2010</c:v>
                </c:pt>
                <c:pt idx="4">
                  <c:v>2016</c:v>
                </c:pt>
              </c:numCache>
            </c:numRef>
          </c:cat>
          <c:val>
            <c:numRef>
              <c:f>'index starnutiaa'!$B$24:$F$24</c:f>
              <c:numCache>
                <c:formatCode>0.00</c:formatCode>
                <c:ptCount val="5"/>
                <c:pt idx="0">
                  <c:v>33.619999999999997</c:v>
                </c:pt>
                <c:pt idx="1">
                  <c:v>44.21</c:v>
                </c:pt>
                <c:pt idx="2">
                  <c:v>59.93</c:v>
                </c:pt>
                <c:pt idx="3">
                  <c:v>74.23</c:v>
                </c:pt>
                <c:pt idx="4">
                  <c:v>99.44</c:v>
                </c:pt>
              </c:numCache>
            </c:numRef>
          </c:val>
          <c:smooth val="0"/>
          <c:extLst>
            <c:ext xmlns:c16="http://schemas.microsoft.com/office/drawing/2014/chart" uri="{C3380CC4-5D6E-409C-BE32-E72D297353CC}">
              <c16:uniqueId val="{0000000B-2499-4B17-A696-417654BDF094}"/>
            </c:ext>
          </c:extLst>
        </c:ser>
        <c:dLbls>
          <c:showLegendKey val="0"/>
          <c:showVal val="0"/>
          <c:showCatName val="0"/>
          <c:showSerName val="0"/>
          <c:showPercent val="0"/>
          <c:showBubbleSize val="0"/>
        </c:dLbls>
        <c:marker val="1"/>
        <c:smooth val="0"/>
        <c:axId val="222677816"/>
        <c:axId val="222678208"/>
      </c:lineChart>
      <c:catAx>
        <c:axId val="222677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22678208"/>
        <c:crosses val="autoZero"/>
        <c:auto val="1"/>
        <c:lblAlgn val="ctr"/>
        <c:lblOffset val="100"/>
        <c:noMultiLvlLbl val="0"/>
      </c:catAx>
      <c:valAx>
        <c:axId val="2226782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22677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sk-SK"/>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41603061748083175"/>
          <c:y val="4.6038293821498322E-2"/>
          <c:w val="0.49012270341208147"/>
          <c:h val="0.91298794338018585"/>
        </c:manualLayout>
      </c:layout>
      <c:barChart>
        <c:barDir val="bar"/>
        <c:grouping val="clustered"/>
        <c:varyColors val="0"/>
        <c:ser>
          <c:idx val="0"/>
          <c:order val="0"/>
          <c:spPr>
            <a:solidFill>
              <a:schemeClr val="accent5"/>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07D2-412F-898C-159AECF0618D}"/>
              </c:ext>
            </c:extLst>
          </c:dPt>
          <c:dPt>
            <c:idx val="10"/>
            <c:invertIfNegative val="0"/>
            <c:bubble3D val="0"/>
            <c:spPr>
              <a:solidFill>
                <a:srgbClr val="FF0000"/>
              </a:solidFill>
              <a:ln>
                <a:noFill/>
              </a:ln>
              <a:effectLst/>
            </c:spPr>
            <c:extLst>
              <c:ext xmlns:c16="http://schemas.microsoft.com/office/drawing/2014/chart" uri="{C3380CC4-5D6E-409C-BE32-E72D297353CC}">
                <c16:uniqueId val="{00000003-07D2-412F-898C-159AECF0618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SPOLU!$S$155:$S$166</c:f>
              <c:strCache>
                <c:ptCount val="12"/>
                <c:pt idx="0">
                  <c:v>Základné</c:v>
                </c:pt>
                <c:pt idx="1">
                  <c:v>Učňovské (bez maturity)</c:v>
                </c:pt>
                <c:pt idx="2">
                  <c:v>Stredné odborné (bez maturity)</c:v>
                </c:pt>
                <c:pt idx="3">
                  <c:v>Úplné stredné učňovské (s maturitou)</c:v>
                </c:pt>
                <c:pt idx="4">
                  <c:v>Úplné stredné odborné (s maturitou)</c:v>
                </c:pt>
                <c:pt idx="5">
                  <c:v>Úplné stredné všeobecné</c:v>
                </c:pt>
                <c:pt idx="6">
                  <c:v>Vyššie odborné vzdelanie</c:v>
                </c:pt>
                <c:pt idx="7">
                  <c:v>Vysokoškolské bakalárske</c:v>
                </c:pt>
                <c:pt idx="8">
                  <c:v>Vysokoškolské Mgr., Ing., Dr.</c:v>
                </c:pt>
                <c:pt idx="9">
                  <c:v>Vysokoškolské doktorandské</c:v>
                </c:pt>
                <c:pt idx="10">
                  <c:v>Bez školského vzdelania</c:v>
                </c:pt>
                <c:pt idx="11">
                  <c:v>Nezistené</c:v>
                </c:pt>
              </c:strCache>
            </c:strRef>
          </c:cat>
          <c:val>
            <c:numRef>
              <c:f>SPOLU!$T$155:$T$166</c:f>
              <c:numCache>
                <c:formatCode>General</c:formatCode>
                <c:ptCount val="12"/>
                <c:pt idx="0">
                  <c:v>6342</c:v>
                </c:pt>
                <c:pt idx="1">
                  <c:v>2863</c:v>
                </c:pt>
                <c:pt idx="2">
                  <c:v>1799</c:v>
                </c:pt>
                <c:pt idx="3">
                  <c:v>783</c:v>
                </c:pt>
                <c:pt idx="4">
                  <c:v>3844</c:v>
                </c:pt>
                <c:pt idx="5">
                  <c:v>662</c:v>
                </c:pt>
                <c:pt idx="6">
                  <c:v>171</c:v>
                </c:pt>
                <c:pt idx="7">
                  <c:v>421</c:v>
                </c:pt>
                <c:pt idx="8">
                  <c:v>1385</c:v>
                </c:pt>
                <c:pt idx="9">
                  <c:v>69</c:v>
                </c:pt>
                <c:pt idx="10">
                  <c:v>5888</c:v>
                </c:pt>
                <c:pt idx="11">
                  <c:v>925</c:v>
                </c:pt>
              </c:numCache>
            </c:numRef>
          </c:val>
          <c:extLst>
            <c:ext xmlns:c16="http://schemas.microsoft.com/office/drawing/2014/chart" uri="{C3380CC4-5D6E-409C-BE32-E72D297353CC}">
              <c16:uniqueId val="{00000004-07D2-412F-898C-159AECF0618D}"/>
            </c:ext>
          </c:extLst>
        </c:ser>
        <c:dLbls>
          <c:showLegendKey val="0"/>
          <c:showVal val="1"/>
          <c:showCatName val="0"/>
          <c:showSerName val="0"/>
          <c:showPercent val="0"/>
          <c:showBubbleSize val="0"/>
        </c:dLbls>
        <c:gapWidth val="182"/>
        <c:axId val="222678992"/>
        <c:axId val="218769568"/>
      </c:barChart>
      <c:catAx>
        <c:axId val="222678992"/>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18769568"/>
        <c:crosses val="autoZero"/>
        <c:auto val="1"/>
        <c:lblAlgn val="ctr"/>
        <c:lblOffset val="100"/>
        <c:noMultiLvlLbl val="0"/>
      </c:catAx>
      <c:valAx>
        <c:axId val="218769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22678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sk-SK"/>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42200245802608005"/>
          <c:y val="4.9496376769283715E-2"/>
          <c:w val="0.56066949964587798"/>
          <c:h val="0.90537530478046058"/>
        </c:manualLayout>
      </c:layout>
      <c:barChart>
        <c:barDir val="bar"/>
        <c:grouping val="clustered"/>
        <c:varyColors val="0"/>
        <c:ser>
          <c:idx val="0"/>
          <c:order val="0"/>
          <c:spPr>
            <a:solidFill>
              <a:schemeClr val="accent5"/>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E293-448D-9A80-A6D3EDFFCB84}"/>
              </c:ext>
            </c:extLst>
          </c:dPt>
          <c:dPt>
            <c:idx val="10"/>
            <c:invertIfNegative val="0"/>
            <c:bubble3D val="0"/>
            <c:spPr>
              <a:solidFill>
                <a:srgbClr val="FF0000"/>
              </a:solidFill>
              <a:ln>
                <a:noFill/>
              </a:ln>
              <a:effectLst/>
            </c:spPr>
            <c:extLst>
              <c:ext xmlns:c16="http://schemas.microsoft.com/office/drawing/2014/chart" uri="{C3380CC4-5D6E-409C-BE32-E72D297353CC}">
                <c16:uniqueId val="{00000003-E293-448D-9A80-A6D3EDFFCB8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SPOLU!$U$155:$U$166</c:f>
              <c:strCache>
                <c:ptCount val="12"/>
                <c:pt idx="0">
                  <c:v>Základné</c:v>
                </c:pt>
                <c:pt idx="1">
                  <c:v>Učňovské (bez maturity)</c:v>
                </c:pt>
                <c:pt idx="2">
                  <c:v>Stredné odborné (bez maturity)</c:v>
                </c:pt>
                <c:pt idx="3">
                  <c:v>Úplné stredné učňovské (s maturitou)</c:v>
                </c:pt>
                <c:pt idx="4">
                  <c:v>Úplné stredné odborné (s maturitou)</c:v>
                </c:pt>
                <c:pt idx="5">
                  <c:v>Úplné stredné všeobecné</c:v>
                </c:pt>
                <c:pt idx="6">
                  <c:v>Vyššie odborné vzdelanie</c:v>
                </c:pt>
                <c:pt idx="7">
                  <c:v>Vysokoškolské bakalárske</c:v>
                </c:pt>
                <c:pt idx="8">
                  <c:v>Vysokoškolské Mgr., Ing., Dr.</c:v>
                </c:pt>
                <c:pt idx="9">
                  <c:v>Vysokoškolské doktorandské</c:v>
                </c:pt>
                <c:pt idx="10">
                  <c:v>Bez školského vzdelania</c:v>
                </c:pt>
                <c:pt idx="11">
                  <c:v>Nezistené</c:v>
                </c:pt>
              </c:strCache>
            </c:strRef>
          </c:cat>
          <c:val>
            <c:numRef>
              <c:f>SPOLU!$V$155:$V$166</c:f>
              <c:numCache>
                <c:formatCode>General</c:formatCode>
                <c:ptCount val="12"/>
                <c:pt idx="0">
                  <c:v>2206</c:v>
                </c:pt>
                <c:pt idx="1">
                  <c:v>1246</c:v>
                </c:pt>
                <c:pt idx="2">
                  <c:v>680</c:v>
                </c:pt>
                <c:pt idx="3">
                  <c:v>263</c:v>
                </c:pt>
                <c:pt idx="4">
                  <c:v>1295</c:v>
                </c:pt>
                <c:pt idx="5">
                  <c:v>337</c:v>
                </c:pt>
                <c:pt idx="6">
                  <c:v>79</c:v>
                </c:pt>
                <c:pt idx="7">
                  <c:v>121</c:v>
                </c:pt>
                <c:pt idx="8">
                  <c:v>500</c:v>
                </c:pt>
                <c:pt idx="9">
                  <c:v>24</c:v>
                </c:pt>
                <c:pt idx="10">
                  <c:v>2036</c:v>
                </c:pt>
                <c:pt idx="11">
                  <c:v>512</c:v>
                </c:pt>
              </c:numCache>
            </c:numRef>
          </c:val>
          <c:extLst>
            <c:ext xmlns:c16="http://schemas.microsoft.com/office/drawing/2014/chart" uri="{C3380CC4-5D6E-409C-BE32-E72D297353CC}">
              <c16:uniqueId val="{00000004-E293-448D-9A80-A6D3EDFFCB84}"/>
            </c:ext>
          </c:extLst>
        </c:ser>
        <c:dLbls>
          <c:showLegendKey val="0"/>
          <c:showVal val="1"/>
          <c:showCatName val="0"/>
          <c:showSerName val="0"/>
          <c:showPercent val="0"/>
          <c:showBubbleSize val="0"/>
        </c:dLbls>
        <c:gapWidth val="182"/>
        <c:axId val="218770352"/>
        <c:axId val="218770744"/>
      </c:barChart>
      <c:catAx>
        <c:axId val="218770352"/>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18770744"/>
        <c:crosses val="autoZero"/>
        <c:auto val="1"/>
        <c:lblAlgn val="ctr"/>
        <c:lblOffset val="100"/>
        <c:noMultiLvlLbl val="0"/>
      </c:catAx>
      <c:valAx>
        <c:axId val="2187707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18770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sk-SK"/>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Hárok1!$A$27</c:f>
              <c:strCache>
                <c:ptCount val="1"/>
                <c:pt idx="0">
                  <c:v>Severná časť</c:v>
                </c:pt>
              </c:strCache>
            </c:strRef>
          </c:tx>
          <c:spPr>
            <a:ln w="28575" cap="rnd">
              <a:solidFill>
                <a:schemeClr val="accent6">
                  <a:lumMod val="5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Hárok1!$B$26:$M$26</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Hárok1!$B$27:$M$27</c:f>
              <c:numCache>
                <c:formatCode>General</c:formatCode>
                <c:ptCount val="12"/>
                <c:pt idx="0">
                  <c:v>2851</c:v>
                </c:pt>
                <c:pt idx="1">
                  <c:v>2524</c:v>
                </c:pt>
                <c:pt idx="2">
                  <c:v>2302</c:v>
                </c:pt>
                <c:pt idx="3">
                  <c:v>2381</c:v>
                </c:pt>
                <c:pt idx="4">
                  <c:v>3129</c:v>
                </c:pt>
                <c:pt idx="5">
                  <c:v>3432</c:v>
                </c:pt>
                <c:pt idx="6">
                  <c:v>3482</c:v>
                </c:pt>
                <c:pt idx="7">
                  <c:v>3670</c:v>
                </c:pt>
                <c:pt idx="8">
                  <c:v>3370</c:v>
                </c:pt>
                <c:pt idx="9">
                  <c:v>3321</c:v>
                </c:pt>
                <c:pt idx="10">
                  <c:v>3154</c:v>
                </c:pt>
                <c:pt idx="11">
                  <c:v>2579</c:v>
                </c:pt>
              </c:numCache>
            </c:numRef>
          </c:val>
          <c:smooth val="0"/>
          <c:extLst>
            <c:ext xmlns:c16="http://schemas.microsoft.com/office/drawing/2014/chart" uri="{C3380CC4-5D6E-409C-BE32-E72D297353CC}">
              <c16:uniqueId val="{00000000-405D-4D72-BEF7-676F88E2EA54}"/>
            </c:ext>
          </c:extLst>
        </c:ser>
        <c:ser>
          <c:idx val="1"/>
          <c:order val="1"/>
          <c:tx>
            <c:strRef>
              <c:f>Hárok1!$A$28</c:f>
              <c:strCache>
                <c:ptCount val="1"/>
                <c:pt idx="0">
                  <c:v>Južná časť</c:v>
                </c:pt>
              </c:strCache>
            </c:strRef>
          </c:tx>
          <c:spPr>
            <a:ln w="28575" cap="rnd">
              <a:solidFill>
                <a:schemeClr val="tx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Hárok1!$B$26:$M$26</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Hárok1!$B$28:$M$28</c:f>
              <c:numCache>
                <c:formatCode>General</c:formatCode>
                <c:ptCount val="12"/>
                <c:pt idx="0">
                  <c:v>1290</c:v>
                </c:pt>
                <c:pt idx="1">
                  <c:v>1065</c:v>
                </c:pt>
                <c:pt idx="2">
                  <c:v>1029</c:v>
                </c:pt>
                <c:pt idx="3">
                  <c:v>1165</c:v>
                </c:pt>
                <c:pt idx="4">
                  <c:v>1536</c:v>
                </c:pt>
                <c:pt idx="5">
                  <c:v>1473</c:v>
                </c:pt>
                <c:pt idx="6">
                  <c:v>1459</c:v>
                </c:pt>
                <c:pt idx="7">
                  <c:v>1467</c:v>
                </c:pt>
                <c:pt idx="8">
                  <c:v>1349</c:v>
                </c:pt>
                <c:pt idx="9">
                  <c:v>1353</c:v>
                </c:pt>
                <c:pt idx="10">
                  <c:v>1320</c:v>
                </c:pt>
                <c:pt idx="11">
                  <c:v>1214</c:v>
                </c:pt>
              </c:numCache>
            </c:numRef>
          </c:val>
          <c:smooth val="0"/>
          <c:extLst>
            <c:ext xmlns:c16="http://schemas.microsoft.com/office/drawing/2014/chart" uri="{C3380CC4-5D6E-409C-BE32-E72D297353CC}">
              <c16:uniqueId val="{00000001-405D-4D72-BEF7-676F88E2EA54}"/>
            </c:ext>
          </c:extLst>
        </c:ser>
        <c:dLbls>
          <c:showLegendKey val="0"/>
          <c:showVal val="0"/>
          <c:showCatName val="0"/>
          <c:showSerName val="0"/>
          <c:showPercent val="0"/>
          <c:showBubbleSize val="0"/>
        </c:dLbls>
        <c:smooth val="0"/>
        <c:axId val="217954432"/>
        <c:axId val="217954824"/>
      </c:lineChart>
      <c:catAx>
        <c:axId val="21795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17954824"/>
        <c:crosses val="autoZero"/>
        <c:auto val="1"/>
        <c:lblAlgn val="ctr"/>
        <c:lblOffset val="100"/>
        <c:noMultiLvlLbl val="0"/>
      </c:catAx>
      <c:valAx>
        <c:axId val="217954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17954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sk-SK"/>
    </a:p>
  </c:txPr>
  <c:externalData r:id="rId4">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Reversed" id="25">
  <a:schemeClr val="accent5"/>
</cs:colorStyle>
</file>

<file path=word/charts/colors5.xml><?xml version="1.0" encoding="utf-8"?>
<cs:colorStyle xmlns:cs="http://schemas.microsoft.com/office/drawing/2012/chartStyle" xmlns:a="http://schemas.openxmlformats.org/drawingml/2006/main" meth="withinLinearReversed" id="25">
  <a:schemeClr val="accent5"/>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8">
  <a:schemeClr val="accent5"/>
</cs:colorStyle>
</file>

<file path=word/charts/colors8.xml><?xml version="1.0" encoding="utf-8"?>
<cs:colorStyle xmlns:cs="http://schemas.microsoft.com/office/drawing/2012/chartStyle" xmlns:a="http://schemas.openxmlformats.org/drawingml/2006/main" meth="withinLinear" id="18">
  <a:schemeClr val="accent5"/>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flat"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Vlastné 2">
    <a:dk1>
      <a:sysClr val="windowText" lastClr="000000"/>
    </a:dk1>
    <a:lt1>
      <a:sysClr val="window" lastClr="FFFFFF"/>
    </a:lt1>
    <a:dk2>
      <a:srgbClr val="44546A"/>
    </a:dk2>
    <a:lt2>
      <a:srgbClr val="E7E6E6"/>
    </a:lt2>
    <a:accent1>
      <a:srgbClr val="538135"/>
    </a:accent1>
    <a:accent2>
      <a:srgbClr val="2E75B5"/>
    </a:accent2>
    <a:accent3>
      <a:srgbClr val="F0985B"/>
    </a:accent3>
    <a:accent4>
      <a:srgbClr val="FECF3F"/>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FFE167-AAC1-4DAD-92E7-61B5E2767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8393</TotalTime>
  <Pages>1</Pages>
  <Words>13149</Words>
  <Characters>74954</Characters>
  <Application>Microsoft Office Word</Application>
  <DocSecurity>0</DocSecurity>
  <Lines>624</Lines>
  <Paragraphs>175</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ZZ1</dc:creator>
  <cp:keywords/>
  <dc:description/>
  <cp:lastModifiedBy>ZZ1</cp:lastModifiedBy>
  <cp:revision>87</cp:revision>
  <dcterms:created xsi:type="dcterms:W3CDTF">2018-02-05T09:00:00Z</dcterms:created>
  <dcterms:modified xsi:type="dcterms:W3CDTF">2018-03-23T14:27:00Z</dcterms:modified>
</cp:coreProperties>
</file>